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40110-2025 i Huddinge kommun</w:t>
      </w:r>
    </w:p>
    <w:p>
      <w:r>
        <w:t>Detta klagomål behandlar höga naturvärden i avverkningsanmälan A 40110-2025 i Huddinge kommun som inkom 2025-08-25 och omfattar 21,4 ha.</w:t>
      </w:r>
    </w:p>
    <w:p>
      <w:pPr>
        <w:pStyle w:val="Caption"/>
      </w:pPr>
      <w:r>
        <w:drawing>
          <wp:inline xmlns:a="http://schemas.openxmlformats.org/drawingml/2006/main" xmlns:pic="http://schemas.openxmlformats.org/drawingml/2006/picture">
            <wp:extent cx="5486400" cy="4482152"/>
            <wp:docPr id="1" name="Picture 1"/>
            <wp:cNvGraphicFramePr>
              <a:graphicFrameLocks noChangeAspect="1"/>
            </wp:cNvGraphicFramePr>
            <a:graphic>
              <a:graphicData uri="http://schemas.openxmlformats.org/drawingml/2006/picture">
                <pic:pic>
                  <pic:nvPicPr>
                    <pic:cNvPr id="0" name="A 40110-2025 karta.png"/>
                    <pic:cNvPicPr/>
                  </pic:nvPicPr>
                  <pic:blipFill>
                    <a:blip r:embed="rId16"/>
                    <a:stretch>
                      <a:fillRect/>
                    </a:stretch>
                  </pic:blipFill>
                  <pic:spPr>
                    <a:xfrm>
                      <a:off x="0" y="0"/>
                      <a:ext cx="5486400" cy="448215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6565033, E 674818 i SWEREF 99 TM.</w:t>
      </w:r>
    </w:p>
    <w:p>
      <w:r>
        <w:t>I och inom 24 meter från avverkningsanmälan finns fynd av 32 naturvårdsarter, varav 16 är rödlistade, 5 är fridlysta, 18 är typiska (T) och 14 är signalarter (S): knärot (VU, T, §8), rosetticka (VU), brunpudrad nållav (NT, T), fjällig taggsvamp s.str. (NT), mindre poppelglasvinge (NT), motaggsvamp (NT, T), orange taggsvamp (NT, T), rynkskinn (NT, T), scharlakansvaxing (NT), skarp dropptaggsvamp (NT), tallticka (NT, T), talltita (NT, §4), tjockfotad fingersvamp (NT), ullticka (NT, T), vaddporing (NT), vedtrappmossa (NT, T), björksplintborre (S), brandticka (S), bronshjon (S, T), flagellkvastmossa (S, T), granbarkgnagare (S, T), grön sköldmossa (S, T, §8), hasselticka (S, T), mindre märgborre (S, T), stubbspretmossa (S, T), thomsons trägnagare (S), trådticka (S, T), vedticka (S, T), vågbandad barkbock (S), zontaggsvamp (S), spillkråka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5718275"/>
            <wp:docPr id="2" name="Picture 2"/>
            <wp:cNvGraphicFramePr>
              <a:graphicFrameLocks noChangeAspect="1"/>
            </wp:cNvGraphicFramePr>
            <a:graphic>
              <a:graphicData uri="http://schemas.openxmlformats.org/drawingml/2006/picture">
                <pic:pic>
                  <pic:nvPicPr>
                    <pic:cNvPr id="0" name="A 40110-2025 karta knärot.png"/>
                    <pic:cNvPicPr/>
                  </pic:nvPicPr>
                  <pic:blipFill>
                    <a:blip r:embed="rId17"/>
                    <a:stretch>
                      <a:fillRect/>
                    </a:stretch>
                  </pic:blipFill>
                  <pic:spPr>
                    <a:xfrm>
                      <a:off x="0" y="0"/>
                      <a:ext cx="5486400" cy="5718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6565033, E 674818 i SWEREF 99 TM.</w:t>
      </w:r>
    </w:p>
    <w:p>
      <w:r>
        <w:rPr>
          <w:b/>
        </w:rPr>
        <w:t>Rosetticka (VU)</w:t>
      </w:r>
      <w:r>
        <w:t xml:space="preserve"> är en vedlevande svamp som orsakar brunröta. Den växer främst på barrträd men har även observerats på några olika slag av lövträd. Lågor, stubbar och rötter av gran är den vanligaste livsmiljön och ibland växer den upp från ved som ligger dold i marken. Arten förekommer framförallt på skuggiga och fuktiga lokaler med hög produktionsförmåga. Arten hotas genom att den hör hemma i en miljö som har stort värde för skogsproduktion och som det finns få skyddade områden av. Ett urval av de kända lokalerna måste kontrolleras och om arten återfinns måste området skyddas. För att möjliggöra att arten fortlever i landet måste fler bestånd med äldre, högproduktiv granskog undantas från skogsbruk. Detta gäller särskilt i södra Sverige där bara ett fåtal sådana områden hittills skyddats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Mindre poppelglasvinge (NT) </w:t>
      </w:r>
      <w:r>
        <w:t>är en fjäril som med sin mimikry liknar en solitärgeting. Den lever på senvuxen asp där larven utnyttjar läkningsytan runt döda grenar på aspar i naturligt soliga lägen. Angreppen är så typiska att en förekomst kan säkerställas genom dessa. Arten är mycket krävande vad gäller substratet, som bara kan utnyttjas en gång av en larvindivid. Arten påverkas negativt av brist på grova eller gamla träd och en minskning av populationen pågår eller förväntas ske. Minskningen avser kvalitén på artens habitat (SLU Artdatabanken, 2025).</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