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24264-2023 i Huddinge kommun</w:t>
      </w:r>
    </w:p>
    <w:p>
      <w:r>
        <w:t>Denna tillsynsbegäran behandlar höga naturvärden i avverkningsanmälan A 24264-2023 i Huddinge kommun som inkom 2023-05-30 och omfattar 7,3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24264-2023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6571131, E 665885 i SWEREF 99 TM.</w:t>
      </w:r>
    </w:p>
    <w:p>
      <w:r>
        <w:t>I och inom 25 meter från avverkningsanmälan finns fynd av 16 naturvårdsarter, varav 6 är rödlistade, 2 är fridlysta, 11 är typiska (T) och 8 är signalarter (S): kolflarnlav (NT, T), motaggsvamp (NT, T), tallticka (NT, T), ullticka (NT, T), vedskivlav (NT, T), vintertagging (NT), björksplintborre (S), blodticka (S, T), blåmossa (S, T), brandticka (S), bronshjon (S, T), granbarkgnagare (S, T), mindre märgborre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motaggsvamp (NT, T), tallticka (NT, T), ullticka (NT, T), vedskivlav (NT, T), blodticka (S, T), blåmossa (S, T), bronshjon (S, T), granbarkgnagare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