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40110-2025 i Huddinge kommun</w:t>
      </w:r>
    </w:p>
    <w:p>
      <w:r>
        <w:t>Detta dokument behandlar höga naturvärden i avverkningsanmälan A 40110-2025 i Huddinge kommun. Denna avverkningsanmälan inkom 2025-08-25 00:00:00 och omfattar 21,4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32 naturvårdsarter hittats: knärot (VU, §8), rosetticka (VU), rynkskinn (VU), brunpudrad nållav (NT), granticka (NT), motaggsvamp (NT), orange taggsvamp (NT), scharlakansvaxing (NT), spillkråka (NT, §4), tallticka (NT), talltita (NT, §4), ullticka (NT), vaddporing (NT), vedtrappmossa (NT), björksplintborre (S), brandticka (S), bronshjon (S), fjällig taggsvamp s.str. (S), flagellkvastmossa (S), granbarkgnagare (S), grön sköldmossa (S, §8), hasselticka (S), mindre märgborre (S), skarp dropptaggsvamp (S), stubbspretmossa (S), thomsons trägnagare (S), tjockfotad fingersvamp (S), trådticka (S), vedticka (S), vågbandad barkbock (S), zontaggsvamp (S) och vanlig groda (§6).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4284"/>
            <wp:docPr id="1" name="Picture 1"/>
            <wp:cNvGraphicFramePr>
              <a:graphicFrameLocks noChangeAspect="1"/>
            </wp:cNvGraphicFramePr>
            <a:graphic>
              <a:graphicData uri="http://schemas.openxmlformats.org/drawingml/2006/picture">
                <pic:pic>
                  <pic:nvPicPr>
                    <pic:cNvPr id="0" name="A 40110-2025 karta.png"/>
                    <pic:cNvPicPr/>
                  </pic:nvPicPr>
                  <pic:blipFill>
                    <a:blip r:embed="rId16"/>
                    <a:stretch>
                      <a:fillRect/>
                    </a:stretch>
                  </pic:blipFill>
                  <pic:spPr>
                    <a:xfrm>
                      <a:off x="0" y="0"/>
                      <a:ext cx="5486400" cy="4614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6565033, E 674818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Rosetticka (VU)</w:t>
      </w:r>
      <w:r>
        <w:t xml:space="preserve"> är en vedlevande svamp som orsakar brunröta. Den växer främst på barrträd men har även observerats på några olika slag av lövträd. Lågor, stubbar och rötter av gran är den vanligaste livsmiljön och ibland växer den upp från ved som ligger dold i marken. Arten förekommer framförallt på skuggiga och fuktiga lokaler med hög produktionsförmåga. Arten hotas genom att den hör hemma i en miljö som har stort värde för skogsproduktion och som det finns få skyddade områden av. Ett urval av de kända lokalerna måste kontrolleras och om arten återfinns måste området skyddas. För att möjliggöra att arten fortlever i landet måste fler bestånd med äldre, högproduktiv granskog undantas från skogsbruk. Detta gäller särskilt i södra Sverige där bara ett fåtal sådana områden hittills skyddats (SLU Artdatabanken, 2026).</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Scharlakansvaxing (NT) </w:t>
      </w:r>
      <w:r>
        <w:t>växer mest på magra, ogödslade naturbetes- och slåttermarker men kan sällsynt även påträffas i luckig skogsmark och på rikare mulljord i ädellövskog. Arten är globalt rödlistad som sårbar (VU) vilket innebär att Sverige har ett internationellt ansvar för arten (SLU Artdatabanken, 2024; IUCN, 2019).</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knärot (VU, §8), spillkråka (NT, §4), talltita (NT, §4), grön sköldmossa (S, §8)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1.16 ha med buffertzonerna och får av detta skäl inte avverkas.</w:t>
      </w:r>
    </w:p>
    <w:p>
      <w:pPr>
        <w:pStyle w:val="Caption"/>
      </w:pPr>
      <w:r>
        <w:drawing>
          <wp:inline xmlns:a="http://schemas.openxmlformats.org/drawingml/2006/main" xmlns:pic="http://schemas.openxmlformats.org/drawingml/2006/picture">
            <wp:extent cx="5486400" cy="5718647"/>
            <wp:docPr id="2" name="Picture 2"/>
            <wp:cNvGraphicFramePr>
              <a:graphicFrameLocks noChangeAspect="1"/>
            </wp:cNvGraphicFramePr>
            <a:graphic>
              <a:graphicData uri="http://schemas.openxmlformats.org/drawingml/2006/picture">
                <pic:pic>
                  <pic:nvPicPr>
                    <pic:cNvPr id="0" name="A 40110-2025 karta knärot.png"/>
                    <pic:cNvPicPr/>
                  </pic:nvPicPr>
                  <pic:blipFill>
                    <a:blip r:embed="rId17"/>
                    <a:stretch>
                      <a:fillRect/>
                    </a:stretch>
                  </pic:blipFill>
                  <pic:spPr>
                    <a:xfrm>
                      <a:off x="0" y="0"/>
                      <a:ext cx="5486400" cy="57186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6565033, E 674818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