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44802-2026 i Huddinge kommun</w:t>
      </w:r>
    </w:p>
    <w:p>
      <w:r>
        <w:t>Detta klagomål behandlar höga naturvärden i avverkningsanmälan A 44802-2026 i Huddinge kommun som inkom 2026-10-23 och omfattar 5,4 ha.</w:t>
      </w:r>
    </w:p>
    <w:p>
      <w:pPr>
        <w:pStyle w:val="Caption"/>
      </w:pPr>
      <w:r>
        <w:drawing>
          <wp:inline xmlns:a="http://schemas.openxmlformats.org/drawingml/2006/main" xmlns:pic="http://schemas.openxmlformats.org/drawingml/2006/picture">
            <wp:extent cx="5486400" cy="4597012"/>
            <wp:docPr id="1" name="Picture 1"/>
            <wp:cNvGraphicFramePr>
              <a:graphicFrameLocks noChangeAspect="1"/>
            </wp:cNvGraphicFramePr>
            <a:graphic>
              <a:graphicData uri="http://schemas.openxmlformats.org/drawingml/2006/picture">
                <pic:pic>
                  <pic:nvPicPr>
                    <pic:cNvPr id="0" name="A 44802-2026 karta.png"/>
                    <pic:cNvPicPr/>
                  </pic:nvPicPr>
                  <pic:blipFill>
                    <a:blip r:embed="rId16"/>
                    <a:stretch>
                      <a:fillRect/>
                    </a:stretch>
                  </pic:blipFill>
                  <pic:spPr>
                    <a:xfrm>
                      <a:off x="0" y="0"/>
                      <a:ext cx="5486400" cy="459701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6565484, E 677219 i SWEREF 99 TM.</w:t>
      </w:r>
    </w:p>
    <w:p>
      <w:r>
        <w:t>Inom 25 meter från avverkningsanmälan finns fynd av 5 naturvårdsarter, varav 5 är signalarter (S): blodvaxing (S), gulvaxing (S), hagfingersvamp (S), mönjevaxing (S) och papegojvaxing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