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18 naturvårdsarter, varav 8 är rödlistade, 12 är fridlysta, 8 är typiska (T) och 2 är signalarter (S): stare (VU, §4), fransfladdermus (NT, §4a), grönsångare (NT, §4), gulsparv (NT, §4), nordfladdermus (NT, §4a), rödvingetrast (NT, §4), slåtterfibbla (NT, T), tallticka (NT, T), blåmossa (S, T), mindre märgborre (S, T), kransmossa (T), liljekonvalj (T), spillkråka (T, §4), tofsmes (T, §4), dvärgpipistrell (§4a), gröngöling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