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24 meter från avverkningsanmälan finns fynd av 18 naturvårdsarter, varav 8 är rödlistade, 12 är fridlysta, 8 är typiska (T) och 2 är signalarter (S): stare (VU, §4), fransfladdermus (NT, §4a), grönsångare (NT, §4), gulsparv (NT, §4), nordfladdermus (NT, §4a), rödvingetrast (NT, §4), slåtterfibbla (NT, T), tallticka (NT, T), blåmossa (S, T), mindre märgborre (S, T), kransmossa (T), liljekonvalj (T), spillkråka (T, §4), tofsmes (T, §4), dvärgpipistrell (§4a), gröngöling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