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9 naturvårdsarter, varav 8 är rödlistade, 2 är fridlysta, 3 är typiska (T) och 1 är signalart (S): hasselsnok (VU, §4a),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