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25306-2026 i Botkyrka kommun</w:t>
      </w:r>
    </w:p>
    <w:p>
      <w:r>
        <w:t>Detta klagomål behandlar höga naturvärden i avverkningsanmälan A 25306-2026 i Botkyrka kommun som inkom 2026-06-03 och omfattar 3,2 ha.</w:t>
      </w:r>
    </w:p>
    <w:p>
      <w:pPr>
        <w:pStyle w:val="Caption"/>
      </w:pPr>
      <w:r>
        <w:drawing>
          <wp:inline xmlns:a="http://schemas.openxmlformats.org/drawingml/2006/main" xmlns:pic="http://schemas.openxmlformats.org/drawingml/2006/picture">
            <wp:extent cx="5486400" cy="4842409"/>
            <wp:docPr id="1" name="Picture 1"/>
            <wp:cNvGraphicFramePr>
              <a:graphicFrameLocks noChangeAspect="1"/>
            </wp:cNvGraphicFramePr>
            <a:graphic>
              <a:graphicData uri="http://schemas.openxmlformats.org/drawingml/2006/picture">
                <pic:pic>
                  <pic:nvPicPr>
                    <pic:cNvPr id="0" name="A 25306-2026 karta.png"/>
                    <pic:cNvPicPr/>
                  </pic:nvPicPr>
                  <pic:blipFill>
                    <a:blip r:embed="rId16"/>
                    <a:stretch>
                      <a:fillRect/>
                    </a:stretch>
                  </pic:blipFill>
                  <pic:spPr>
                    <a:xfrm>
                      <a:off x="0" y="0"/>
                      <a:ext cx="5486400" cy="4842409"/>
                    </a:xfrm>
                    <a:prstGeom prst="rect"/>
                  </pic:spPr>
                </pic:pic>
              </a:graphicData>
            </a:graphic>
          </wp:inline>
        </w:drawing>
      </w:r>
    </w:p>
    <w:p>
      <w:pPr>
        <w:pStyle w:val="Caption"/>
        <w:spacing w:after="240"/>
      </w:pPr>
      <w:r>
        <w:t>Figur 1. Fyndplatser för naturvårdsarter i och inom 13 meter från avverkningsanmälan. Markörer utan svart kant är placerade på fyndplatsen. Markörer med svart kant är placerade vid sidan av fyndplatsen och har ett svart streck som visar fyndplatsens exakta position. Kartans mittpunktskoordinat är N 6556763, E 659920 i SWEREF 99 TM.</w:t>
      </w:r>
    </w:p>
    <w:p>
      <w:r>
        <w:t>I och inom 13 meter från avverkningsanmälan finns fynd av 10 naturvårdsarter, varav 3 är rödlistade, 4 är fridlysta, 8 är typiska (T) och 2 är signalarter (S): gulsparv (NT, §4), slåtterfibbla (NT, T), tallticka (NT, T), blåmossa (S, T), mindre märgborre (S, T), kransmossa (T), liljekonvalj (T), spillkråka (T, §4), tofsmes (T, §4) och gröngöling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Slåtterfibbla (NT)</w:t>
      </w:r>
      <w:r>
        <w:t xml:space="preserve"> är typisk art för </w:t>
      </w:r>
      <w:r>
        <w:rPr>
          <w:i/>
        </w:rPr>
        <w:t xml:space="preserve">9060 Åsbarrskog, 9070 Trädklädd betesmark, 6530 Lövängar, 1610 Åsöar i Östersjön, 6230 Stagg-gräsmarker, 6270 Silikatgräsmarker </w:t>
      </w:r>
      <w:r>
        <w:t>och</w:t>
      </w:r>
      <w:r>
        <w:rPr>
          <w:i/>
        </w:rPr>
        <w:t xml:space="preserve"> 6510 Slåtterängar i låglandet </w:t>
      </w:r>
      <w:r>
        <w:t>(SLU Artdatabanken, 2025).</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r>
        <w:rPr>
          <w:b/>
        </w:rPr>
        <w:t xml:space="preserve">Blåmossa </w:t>
      </w:r>
      <w:r>
        <w:t xml:space="preserve">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Blåmossa är typisk art för </w:t>
      </w:r>
      <w:r>
        <w:rPr>
          <w:i/>
        </w:rPr>
        <w:t>9010 Taiga, 9080 Lövsumpskog</w:t>
      </w:r>
      <w:r>
        <w:t xml:space="preserve"> och </w:t>
      </w:r>
      <w:r>
        <w:rPr>
          <w:i/>
        </w:rPr>
        <w:t>9750 Svämlövskog</w:t>
      </w:r>
      <w:r>
        <w:t xml:space="preserve"> (SLU Artdatabanken, 2025; Nitare &amp; Skogsstyrelsen, 2019).</w:t>
      </w:r>
    </w:p>
    <w:p>
      <w:r>
        <w:rPr>
          <w:b/>
        </w:rPr>
        <w:t>Mindre märgborre</w:t>
      </w:r>
      <w:r>
        <w:t xml:space="preserve"> är en signalart för tallskog med höga naturvärden och betraktas tillsammans med skarptandad barkborre som nyckelarter för ett antal sällsynta åtgärdsprogramsarter som är beroende av deras gångsystem. Bland dessa kan nämnas avlång barkborre (VU), </w:t>
      </w:r>
      <w:r>
        <w:rPr>
          <w:i/>
        </w:rPr>
        <w:t>Corticeus longulus</w:t>
      </w:r>
      <w:r>
        <w:t xml:space="preserve"> (VU), tallgångbagge (VU), cholodkovskys bastborre (NT) och tallbarksvartbagge (NT). Den mindre märgborrens måsvingeliknande gnaggångar är lätta att känna igen och hittas ofta på grova tallgrenar på marken. 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Mindre märgborre är typisk art för </w:t>
      </w:r>
      <w:r>
        <w:rPr>
          <w:i/>
        </w:rPr>
        <w:t>9060 Åsbarrskog</w:t>
      </w:r>
      <w:r>
        <w:t xml:space="preserve"> (SLU Artdatabanken, 2026; Pettersson, 2014; Hedgren, 2012; Gunnarsson m fl., 1999).</w:t>
      </w:r>
    </w:p>
    <w:p>
      <w:r>
        <w:rPr>
          <w:b/>
        </w:rPr>
        <w:t>Kransmossa</w:t>
      </w:r>
      <w:r>
        <w:t xml:space="preserve"> är typisk art för </w:t>
      </w:r>
      <w:r>
        <w:rPr>
          <w:i/>
        </w:rPr>
        <w:t xml:space="preserve">9050 Näringsrik granskog </w:t>
      </w:r>
      <w:r>
        <w:t xml:space="preserve">och </w:t>
      </w:r>
      <w:r>
        <w:rPr>
          <w:i/>
        </w:rPr>
        <w:t xml:space="preserve">6170 Alpina kalkgräsmarker </w:t>
      </w:r>
      <w:r>
        <w:t>(SLU Artdatabanken, 2025).</w:t>
      </w:r>
    </w:p>
    <w:p>
      <w:r>
        <w:rPr>
          <w:b/>
        </w:rPr>
        <w:t>Liljekonvalj</w:t>
      </w:r>
      <w:r>
        <w:t xml:space="preserve"> är typisk art för </w:t>
      </w:r>
      <w:r>
        <w:rPr>
          <w:i/>
        </w:rPr>
        <w:t>9190 Näringsfattig ekskog</w:t>
      </w:r>
      <w:r>
        <w:t>. På liljekonvalj kan man hitta rostsvampen konvaljerost (NE) (SLU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rPr>
          <w:b/>
        </w:rPr>
        <w:t>Tofsmes (§4)</w:t>
      </w:r>
      <w:r>
        <w:t xml:space="preserve"> häckar i barr- och blandskog, främst i tallskog. Tofsmes är typisk art för </w:t>
      </w:r>
      <w:r>
        <w:rPr>
          <w:i/>
        </w:rPr>
        <w:t xml:space="preserve">9010 Taiga </w:t>
      </w:r>
      <w:r>
        <w:t>(SLU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10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som nyckelarter, eftersom en rad sällsynta efterföljande arter är beroende av deras gångsystem. Bland dessa kan nämnas åtgärdsprogramsarterna avlång barkborre (VU), </w:t>
      </w:r>
      <w:r>
        <w:rPr>
          <w:i/>
        </w:rPr>
        <w:t>Corticeus longulus</w:t>
      </w:r>
      <w:r>
        <w:t xml:space="preserve"> (VU), tallgångbagge (VU), cholodkovskys bastborre (NT) och tallbarksvartbagge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De barkborrar som missgynnas av större märgborre är i mycket högre grad gynnade av tallar som dör genom självgallring, dvs. i normalfallet skog som inte används till skogsproduktion (Pettersson, 2014; Wikars, skriftl.).</w:t>
      </w:r>
    </w:p>
    <w:p>
      <w:r>
        <w:t xml:space="preserve">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Mindre märgborre är typisk art för </w:t>
      </w:r>
      <w:r>
        <w:rPr>
          <w:i/>
        </w:rPr>
        <w:t>9060 Åsbarrskog</w:t>
      </w:r>
      <w:r>
        <w:t xml:space="preserve"> (Pettersson, 2014; SLU Artdatabanken, 2026).</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SLU Artdatabanken, 2026. </w:t>
      </w:r>
      <w:r>
        <w:rPr>
          <w:i/>
        </w:rPr>
        <w:t xml:space="preserve">Artfaktablad. Naturvård – artfakta. </w:t>
      </w:r>
      <w:r>
        <w:t>SLU Artdatabanken, Uppsala.</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