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1039-2025 i Botkyrka kommun</w:t>
      </w:r>
    </w:p>
    <w:p>
      <w:r>
        <w:t>Detta klagomål behandlar höga naturvärden i samrådsanmälan S 1039-2025 i Botkyrka kommun som inkom 2025-03-31 och omfattar 1,1 ha.</w:t>
      </w:r>
    </w:p>
    <w:p>
      <w:pPr>
        <w:pStyle w:val="Caption"/>
      </w:pPr>
      <w:r>
        <w:drawing>
          <wp:inline xmlns:a="http://schemas.openxmlformats.org/drawingml/2006/main" xmlns:pic="http://schemas.openxmlformats.org/drawingml/2006/picture">
            <wp:extent cx="5486400" cy="4531770"/>
            <wp:docPr id="1" name="Picture 1"/>
            <wp:cNvGraphicFramePr>
              <a:graphicFrameLocks noChangeAspect="1"/>
            </wp:cNvGraphicFramePr>
            <a:graphic>
              <a:graphicData uri="http://schemas.openxmlformats.org/drawingml/2006/picture">
                <pic:pic>
                  <pic:nvPicPr>
                    <pic:cNvPr id="0" name="S 1039-2025 karta.png"/>
                    <pic:cNvPicPr/>
                  </pic:nvPicPr>
                  <pic:blipFill>
                    <a:blip r:embed="rId16"/>
                    <a:stretch>
                      <a:fillRect/>
                    </a:stretch>
                  </pic:blipFill>
                  <pic:spPr>
                    <a:xfrm>
                      <a:off x="0" y="0"/>
                      <a:ext cx="5486400" cy="453177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6558584, E 664718 i SWEREF 99 TM.</w:t>
      </w:r>
    </w:p>
    <w:p>
      <w:r>
        <w:t>I samrådsanmälan finns fynd av 5 naturvårdsarter, varav 5 är rödlistade och 3 är typiska (T): fjällig taggsvamp s.str. (NT), orange taggsvamp (NT, T), skarp dropptaggsvamp (NT), tallticka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