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48266-2024 i Botkyrka kommun</w:t>
      </w:r>
    </w:p>
    <w:p>
      <w:r>
        <w:t>Detta dokument behandlar höga naturvärden i avverkningsanmälan A 48266-2024 i Botkyrka kommun. Denna avverkningsanmälan inkom 2024-10-25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brandtaggsvamp (VU), fyrflikig jordstjärna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48266-2024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6558977, E 666271 i SWEREF 99 TM.</w:t>
      </w:r>
    </w:p>
    <w:p>
      <w:r>
        <w:rPr>
          <w:b/>
        </w:rPr>
        <w:t xml:space="preserve">Brandtaggsvamp (VU) </w:t>
      </w:r>
      <w:r>
        <w:t>är en sällsynt art knuten till barrskogar på starkt kalkrik mark. Arten är placerad högst upp i Skogsstyrelsens värdepyramid för bedömning av skog med höga naturvärden och hotas främst av avverkning av kalkpåverkad barrskog. Äldre skog på kalkrik mark har ofta en rik flora av hotade svampar och är därför synnerligen skyddsvärda. Det är önskvärt att många, även små, områden med sådan kalkbarrskog skyddas i södra och mellersta Sverige (SLU Artdatabanken, 2024; Nitare &amp; Skogsstyrelsen, 2019).</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