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och inom 20 meter från avverkningsanmälan finns fynd av 4 naturvårdsarter, varav 1 är rödlistad, 3 är fridlysta, 3 är typiska (T) och 1 är signalart (S): gulsparv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