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695-2023 i Botkyrka kommun</w:t>
      </w:r>
    </w:p>
    <w:p>
      <w:r>
        <w:t>Denna tillsynsbegäran behandlar höga naturvärden i avverkningsanmälan A 695-2023 i Botkyrka kommun som inkom 2023-01-04 och omfattar 13,6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695-2023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6559560, E 656729 i SWEREF 99 TM.</w:t>
      </w:r>
    </w:p>
    <w:p>
      <w:r>
        <w:t>I och inom 18 meter från avverkningsanmälan finns fynd av 10 naturvårdsarter, varav 5 är rödlistade, 8 är fridlysta och 3 är typiska (T): brunlångöra (NT, §4a), dropptaggsvamp (NT, T), gulsparv (NT, §4), motaggsvamp (NT, T), nordfladdermus (NT, §4a), spillkråka (T, §4), dvärgpipistrell (§4a), kungsfågel (§4),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