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24 meter från avverkningsanmälan finns fynd av 13 naturvårdsarter, varav 6 är rödlistade, 7 är fridlysta, 8 är typiska (T) och 2 är signalarter (S): stare (VU, §4), grönsångare (NT, §4), gulsparv (NT, §4), rödvingetrast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