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24 meter från avverkningsanmälan finns fynd av 13 naturvårdsarter, varav 6 är rödlistade, 7 är fridlysta, 8 är typiska (T) och 2 är signalarter (S): stare (VU, §4), grönsångare (NT, §4), gulsparv (NT, §4), rödvingetrast (NT, §4), slåtterfibbla (NT, T), tallticka (NT, T), blåmossa (S, T), mindre märgborre (S, T), kransmossa (T), liljekonvalj (T), spillkråka (T, §4), tofsmes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tallticka (NT, T), blåmossa (S, T), mindre märgborre (S, T), kransmossa (T), liljekonvalj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