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25306-2026 i Botkyrka kommun</w:t>
      </w:r>
    </w:p>
    <w:p>
      <w:r>
        <w:t>Denna tillsynsbegäran behandlar höga naturvärden i avverkningsanmälan A 25306-2026 i Botkyrka kommun som inkom 2026-06-03 och omfattar 3,2 ha.</w:t>
      </w:r>
    </w:p>
    <w:p>
      <w:pPr>
        <w:pStyle w:val="Caption"/>
      </w:pPr>
      <w:r>
        <w:drawing>
          <wp:inline xmlns:a="http://schemas.openxmlformats.org/drawingml/2006/main" xmlns:pic="http://schemas.openxmlformats.org/drawingml/2006/picture">
            <wp:extent cx="5486400" cy="4842409"/>
            <wp:docPr id="1" name="Picture 1"/>
            <wp:cNvGraphicFramePr>
              <a:graphicFrameLocks noChangeAspect="1"/>
            </wp:cNvGraphicFramePr>
            <a:graphic>
              <a:graphicData uri="http://schemas.openxmlformats.org/drawingml/2006/picture">
                <pic:pic>
                  <pic:nvPicPr>
                    <pic:cNvPr id="0" name="A 25306-2026 karta.png"/>
                    <pic:cNvPicPr/>
                  </pic:nvPicPr>
                  <pic:blipFill>
                    <a:blip r:embed="rId16"/>
                    <a:stretch>
                      <a:fillRect/>
                    </a:stretch>
                  </pic:blipFill>
                  <pic:spPr>
                    <a:xfrm>
                      <a:off x="0" y="0"/>
                      <a:ext cx="5486400" cy="484240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6556763, E 659920 i SWEREF 99 TM.</w:t>
      </w:r>
    </w:p>
    <w:p>
      <w:r>
        <w:t>I och inom 13 meter från avverkningsanmälan finns fynd av 10 naturvårdsarter, varav 3 är rödlistade, 4 är fridlysta, 8 är typiska (T) och 2 är signalarter (S): gulsparv (NT, §4), slåtterfibbla (NT, T), tallticka (NT, T), blåmossa (S, T), mindre märgborre (S, T), kransmossa (T), liljekonvalj (T), spillkråka (T, §4), tofsmes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slåtterfibbla (NT, T), tallticka (NT, T), blåmossa (S, T), mindre märgborre (S, T), kransmossa (T), liljekonvalj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