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>Tillsynsbegäran – information om höga naturvärden och fridlysta arter i avverkningsanmälan A 35492-2021 i Botkyrka kommun</w:t>
      </w:r>
    </w:p>
    <w:p>
      <w:r>
        <w:t>Denna tillsynsbegäran behandlar höga naturvärden i avverkningsanmälan A 35492-2021 i Botkyrka kommun som inkom 2021-07-08 och omfattar 2,9 ha.</w:t>
      </w:r>
    </w:p>
    <w:p>
      <w:pPr>
        <w:pStyle w:val="Caption"/>
      </w:pPr>
      <w:r>
        <w:drawing>
          <wp:inline xmlns:a="http://schemas.openxmlformats.org/drawingml/2006/main" xmlns:pic="http://schemas.openxmlformats.org/drawingml/2006/picture">
            <wp:extent cx="5354202" cy="572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 35492-2021 kart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54202" cy="57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</w:pPr>
      <w:r>
        <w:t>Figur 1. Fyndplatser för naturvårdsarter i avverkningsanmälan. Markörer utan svart kant är placerade på fyndplatsen. Markörer med svart kant är placerade vid sidan av fyndplatsen har ett svart streck som visar fyndplatsens exakta position. Kartans mittpunktskoordinat är N 6554272, E 665566 i SWEREF 99 TM.</w:t>
      </w:r>
    </w:p>
    <w:p>
      <w:r>
        <w:t>I avverkningsanmälan finns fynd av 1 naturvårdsarter, varav 1 är fridlyst och 1 är typisk (T): nattskärra (T, §4). Se Figur 1.</w:t>
      </w:r>
    </w:p>
    <w:p>
      <w:pPr>
        <w:pStyle w:val="Heading1"/>
      </w:pPr>
      <w:r>
        <w:t>Tillsynsbegäran</w:t>
      </w:r>
    </w:p>
    <w:p>
      <w:r>
        <w:t>Vi begär härmed att Skogsstyrelsen fattar beslut enligt miljöbalken som säkerställer att skogens höga naturvärden bevaras samt att EU-lagstiftning efterlevs och att artskyddsbrott förhindras.</w:t>
      </w:r>
    </w:p>
    <w:p>
      <w:r>
        <w:t>Vi önskar även ta del av de ställningstaganden och beslut som myndigheten meddelar till följd av aktuell avverkningsanmälan och föreningens inlaga (se 34 § förvaltningslagen).</w:t>
      </w:r>
    </w:p>
    <w:p>
      <w:pPr>
        <w:pStyle w:val="Heading1"/>
      </w:pPr>
      <w:r>
        <w:t>Naturvårdsarter och fridlysta arter</w:t>
      </w:r>
    </w:p>
    <w:p>
      <w:r>
        <w:t>Nedan följer beskrivningar av de naturvårdsarter och fridlysta arter som har sina livsmiljöer och växtplatser i den avverkningsanmälda skogen. De påträffade naturvårdsarterna är ett tydligt kvitto på att det rör sig om en skog med höga naturvärden.</w:t>
      </w:r>
    </w:p>
    <w:p>
      <w:r>
        <w:rPr>
          <w:b/>
        </w:rPr>
        <w:t>Nattskärra (§4)</w:t>
      </w:r>
      <w:r>
        <w:t xml:space="preserve"> hör i ett historiskt perspektiv hemma i utmarkernas glesa, betade skogar, på ljunghedar och brandfält, tallmoar och i anslutning till torra naturbetesmarker i gränsen mot skogen. Numera påträffas arten i första hand i glesa tallskogar på hällmarker, sandfält och kring högmossar. Uppträder ofta i anslutning till hyggen. Hemområdet för häckande nattskärror är enligt brittiska studier 50–200 hektar, men det förekommer att nattskärror flyger över 5 kilometer för att födosöka i särskilt insektsrika miljöer. Nattskärra är fridlyst enligt 4§ artskyddsförordningen, omfattas av bilaga 1 EU:s fågeldirektiv och är typisk art för </w:t>
      </w:r>
      <w:r>
        <w:rPr>
          <w:i/>
        </w:rPr>
        <w:t>9010 Taiga</w:t>
      </w:r>
      <w:r>
        <w:t xml:space="preserve"> (Skogsstyrelsen, 2016; SLU Artdatabanken, 2025).</w:t>
      </w:r>
    </w:p>
    <w:p>
      <w:pPr>
        <w:pStyle w:val="Heading1"/>
      </w:pPr>
      <w:r>
        <w:t>EU:s fågeldirektiv</w:t>
      </w:r>
    </w:p>
    <w:p>
      <w:r>
        <w:t xml:space="preserve">Europeiska unionens medlemsländer är skyldiga att agera i enlighet med EU:s fågeldirektiv där det uttryckligen står att direktivet gäller för fåglar samt för deras ägg, bon och </w:t>
      </w:r>
      <w:r>
        <w:rPr>
          <w:b/>
        </w:rPr>
        <w:t xml:space="preserve">livsmiljöer </w:t>
      </w:r>
      <w:r>
        <w:t>(artikel 1). Vidare att de åtgärder som vidtas inte får leda till en försämring av den nuvarande situationen beträffande bevarandet av de fågelarter som avses i artikel 1 (artikel 13). Fågeldirektivet är styrande för tillsynsansvariga myndigheters ärendehantering, ställningstaganden och beslutsfattande.</w:t>
      </w:r>
    </w:p>
    <w:sectPr w:rsidR="00CF3394" w:rsidRPr="00065D91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D34524" w14:textId="77777777" w:rsidR="004440AA" w:rsidRDefault="004440AA" w:rsidP="000942A1">
      <w:pPr>
        <w:spacing w:after="0" w:line="240" w:lineRule="auto"/>
      </w:pPr>
      <w:r>
        <w:separator/>
      </w:r>
    </w:p>
  </w:endnote>
  <w:endnote w:type="continuationSeparator" w:id="0">
    <w:p w14:paraId="7E8F364B" w14:textId="77777777" w:rsidR="004440AA" w:rsidRDefault="004440AA" w:rsidP="00094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FD72D" w14:textId="77777777" w:rsidR="000942A1" w:rsidRDefault="000942A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F6334" w14:textId="77777777" w:rsidR="000942A1" w:rsidRDefault="000942A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072F7" w14:textId="77777777" w:rsidR="000942A1" w:rsidRDefault="000942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6DDD6" w14:textId="77777777" w:rsidR="004440AA" w:rsidRDefault="004440AA" w:rsidP="000942A1">
      <w:pPr>
        <w:spacing w:after="0" w:line="240" w:lineRule="auto"/>
      </w:pPr>
      <w:r>
        <w:separator/>
      </w:r>
    </w:p>
  </w:footnote>
  <w:footnote w:type="continuationSeparator" w:id="0">
    <w:p w14:paraId="648141F8" w14:textId="77777777" w:rsidR="004440AA" w:rsidRDefault="004440AA" w:rsidP="000942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D2A6C" w14:textId="77777777" w:rsidR="000942A1" w:rsidRDefault="000942A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C8D62" w14:textId="77777777" w:rsidR="000942A1" w:rsidRDefault="000942A1" w:rsidP="000942A1">
    <w:pPr>
      <w:pStyle w:val="Header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F7434" w14:textId="77777777" w:rsidR="000942A1" w:rsidRDefault="000942A1">
    <w:pPr>
      <w:pStyle w:val="Header"/>
      <w:jc w:val="left"/>
    </w:pPr>
    <w:r>
      <w:tab/>
      <w:tab/>
      <w:t>2026-06-25</w:t>
      <w:br/>
      <w:br/>
    </w:r>
    <w:r>
      <w:t>Till: Skogsstyrelsen</w:t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7424081">
    <w:abstractNumId w:val="8"/>
  </w:num>
  <w:num w:numId="2" w16cid:durableId="160244525">
    <w:abstractNumId w:val="6"/>
  </w:num>
  <w:num w:numId="3" w16cid:durableId="1382364049">
    <w:abstractNumId w:val="5"/>
  </w:num>
  <w:num w:numId="4" w16cid:durableId="1374845979">
    <w:abstractNumId w:val="4"/>
  </w:num>
  <w:num w:numId="5" w16cid:durableId="627198427">
    <w:abstractNumId w:val="7"/>
  </w:num>
  <w:num w:numId="6" w16cid:durableId="474952274">
    <w:abstractNumId w:val="3"/>
  </w:num>
  <w:num w:numId="7" w16cid:durableId="881794421">
    <w:abstractNumId w:val="2"/>
  </w:num>
  <w:num w:numId="8" w16cid:durableId="152338385">
    <w:abstractNumId w:val="1"/>
  </w:num>
  <w:num w:numId="9" w16cid:durableId="1506900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5D91"/>
    <w:rsid w:val="000942A1"/>
    <w:rsid w:val="0015074B"/>
    <w:rsid w:val="00187F12"/>
    <w:rsid w:val="0029639D"/>
    <w:rsid w:val="00326F90"/>
    <w:rsid w:val="004440AA"/>
    <w:rsid w:val="006E156C"/>
    <w:rsid w:val="006E6E89"/>
    <w:rsid w:val="007106C8"/>
    <w:rsid w:val="00804023"/>
    <w:rsid w:val="00AA10D1"/>
    <w:rsid w:val="00AA1D8D"/>
    <w:rsid w:val="00B47730"/>
    <w:rsid w:val="00CB0664"/>
    <w:rsid w:val="00CF3394"/>
    <w:rsid w:val="00E854FA"/>
    <w:rsid w:val="00ED36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B208E3"/>
  <w14:defaultImageDpi w14:val="300"/>
  <w15:docId w15:val="{ED4CC3EB-CE4E-4FB6-B443-E75F49033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06C8"/>
    <w:pPr>
      <w:jc w:val="both"/>
    </w:pPr>
    <w:rPr>
      <w:rFonts w:ascii="Times New Roman" w:hAnsi="Times New Roman"/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156C"/>
    <w:pPr>
      <w:keepNext/>
      <w:keepLines/>
      <w:spacing w:before="480" w:after="0"/>
      <w:outlineLvl w:val="0"/>
    </w:pPr>
    <w:rPr>
      <w:rFonts w:eastAsiaTheme="majorEastAsia" w:cstheme="majorBidi"/>
      <w:bCs/>
      <w:sz w:val="32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06C8"/>
    <w:pPr>
      <w:keepNext/>
      <w:keepLines/>
      <w:spacing w:before="200" w:after="0"/>
      <w:outlineLvl w:val="1"/>
    </w:pPr>
    <w:rPr>
      <w:rFonts w:eastAsiaTheme="majorEastAsia" w:cstheme="majorBidi"/>
      <w:bCs/>
      <w:sz w:val="28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06C8"/>
    <w:pPr>
      <w:keepNext/>
      <w:keepLines/>
      <w:spacing w:before="200" w:after="0"/>
      <w:outlineLvl w:val="2"/>
    </w:pPr>
    <w:rPr>
      <w:rFonts w:eastAsiaTheme="majorEastAsia" w:cstheme="majorBidi"/>
      <w:bCs/>
      <w:sz w:val="24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106C8"/>
    <w:pPr>
      <w:keepNext/>
      <w:keepLines/>
      <w:spacing w:before="200" w:after="0"/>
      <w:outlineLvl w:val="3"/>
    </w:pPr>
    <w:rPr>
      <w:rFonts w:eastAsiaTheme="majorEastAsia" w:cstheme="majorBidi"/>
      <w:bCs/>
      <w:iCs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6E156C"/>
    <w:rPr>
      <w:rFonts w:ascii="Times New Roman" w:eastAsiaTheme="majorEastAsia" w:hAnsi="Times New Roman" w:cstheme="majorBidi"/>
      <w:bCs/>
      <w:sz w:val="32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7106C8"/>
    <w:rPr>
      <w:rFonts w:ascii="Times New Roman" w:eastAsiaTheme="majorEastAsia" w:hAnsi="Times New Roman" w:cstheme="majorBidi"/>
      <w:bCs/>
      <w:sz w:val="28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7106C8"/>
    <w:rPr>
      <w:rFonts w:ascii="Times New Roman" w:eastAsiaTheme="majorEastAsia" w:hAnsi="Times New Roman" w:cstheme="majorBidi"/>
      <w:bCs/>
      <w:sz w:val="24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E854FA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40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E854FA"/>
    <w:rPr>
      <w:rFonts w:ascii="Times New Roman" w:eastAsiaTheme="majorEastAsia" w:hAnsi="Times New Roman" w:cstheme="majorBidi"/>
      <w:spacing w:val="5"/>
      <w:kern w:val="28"/>
      <w:sz w:val="40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rsid w:val="007106C8"/>
    <w:rPr>
      <w:rFonts w:ascii="Times New Roman" w:eastAsiaTheme="majorEastAsia" w:hAnsi="Times New Roman" w:cstheme="majorBidi"/>
      <w:bCs/>
      <w:iCs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unhideWhenUsed/>
    <w:qFormat/>
    <w:rsid w:val="00ED360C"/>
    <w:pPr>
      <w:spacing w:after="80" w:line="240" w:lineRule="auto"/>
    </w:pPr>
    <w:rPr>
      <w:bCs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Klas Magnusson</cp:lastModifiedBy>
  <cp:revision>7</cp:revision>
  <dcterms:created xsi:type="dcterms:W3CDTF">2023-02-11T00:19:00Z</dcterms:created>
  <dcterms:modified xsi:type="dcterms:W3CDTF">2026-06-12T21:55:00Z</dcterms:modified>
  <cp:category/>
</cp:coreProperties>
</file>