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33801-2025 i Botkyrka kommun</w:t>
      </w:r>
    </w:p>
    <w:p>
      <w:r>
        <w:t>Denna tillsynsbegäran behandlar höga naturvärden i avverkningsanmälan A 33801-2025 i Botkyrka kommun som inkom 2025-07-04 och omfattar 1,3 ha.</w:t>
      </w:r>
    </w:p>
    <w:p>
      <w:pPr>
        <w:pStyle w:val="Caption"/>
      </w:pPr>
      <w:r>
        <w:drawing>
          <wp:inline xmlns:a="http://schemas.openxmlformats.org/drawingml/2006/main" xmlns:pic="http://schemas.openxmlformats.org/drawingml/2006/picture">
            <wp:extent cx="5486400" cy="4668253"/>
            <wp:docPr id="1" name="Picture 1"/>
            <wp:cNvGraphicFramePr>
              <a:graphicFrameLocks noChangeAspect="1"/>
            </wp:cNvGraphicFramePr>
            <a:graphic>
              <a:graphicData uri="http://schemas.openxmlformats.org/drawingml/2006/picture">
                <pic:pic>
                  <pic:nvPicPr>
                    <pic:cNvPr id="0" name="A 33801-2025 karta.png"/>
                    <pic:cNvPicPr/>
                  </pic:nvPicPr>
                  <pic:blipFill>
                    <a:blip r:embed="rId16"/>
                    <a:stretch>
                      <a:fillRect/>
                    </a:stretch>
                  </pic:blipFill>
                  <pic:spPr>
                    <a:xfrm>
                      <a:off x="0" y="0"/>
                      <a:ext cx="5486400" cy="466825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6556141, E 660384 i SWEREF 99 TM.</w:t>
      </w:r>
    </w:p>
    <w:p>
      <w:r>
        <w:t>I och inom 16 meter från avverkningsanmälan finns fynd av 6 naturvårdsarter, varav 1 är rödlistad, 5 är typiska (T) och 5 är signalarter (S): parkhättemossa (NT), fällmossa (S, T), guldlockmossa (S, T), stenporella (S, T), strutbräken (S, T) och trubbfjädermossa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Parkhättemossa (NT) </w:t>
      </w:r>
      <w:r>
        <w:t>växer på lövträdsbark i halvöppna till öppna lövmarker, t.ex. i parker, skogsbryn, alléer eller jordbrukslandskapet. Den återfinns främst på rikbarksträd, t.ex. alm, ask, asp och lönn, men även på apel och fläder. Avverkning av gamla alléer, lövträd på åkerholmar, samt decimeringen av almen och asken i södra Sverige genom almsjukan respektive askskottsjukan utgör betydande hot. Lämpliga värdträd måste sparas och inte huggas ned även om almsjukan och askskottsjukan ser ut att öka. Äldre alléer bör sparas i större omfattning och dessutom nyskapas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fällmossa (S, T), guldlockmossa (S, T), stenporella (S, T), strutbräken (S, T) och trubbfjädermossa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