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45595-2025 i Botkyrka kommun</w:t>
      </w:r>
    </w:p>
    <w:p>
      <w:r>
        <w:t>Detta dokument behandlar höga naturvärden i avverkningsanmälan A 45595-2025 i Botkyrka kommun som inkom 2025-09-22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5 meter från avverkningsanmälan har följande 6 naturvårdsarter hittats: hasselsnok (VU, §4a), entita (NT, T, §4), gulsparv (NT, §4), tibast (S, T), grönsiska (§4) och kungsfågel (§4). Av dessa är 3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5595-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5 meter från avverkningsanmälan (röd linje). Markörer utan svart kant är placerade på fyndplatsen. Markörer med svart kant är placerade vid sidan av fyndplatsen och har ett svart streck som visar fyndplatsens exakta position. Kartans mittpunktskoordinat är N 6554646, E 660445 i SWEREF 99 TM.</w:t>
      </w:r>
    </w:p>
    <w:p>
      <w:pPr>
        <w:pStyle w:val="Heading2"/>
      </w:pPr>
      <w:r>
        <w:t>Fridlysta arter</w:t>
      </w:r>
    </w:p>
    <w:p>
      <w:r>
        <w:t>Följande fridlysta arter har sina livsmiljöer och växtplatser i den avverkningsanmälda skogen: hasselsnok (VU, §4a), entita (NT, T, §4), gulsparv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2"/>
      </w:pPr>
      <w:r>
        <w:t>Övriga naturvårdsarter</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