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23829-2023 i Botkyrka kommun</w:t>
      </w:r>
    </w:p>
    <w:p>
      <w:r>
        <w:t>Detta klagomål behandlar höga naturvärden i avverkningsanmälan A 23829-2023 i Botkyrka kommun som inkom 2023-06-01 och omfattar 3,7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23829-2023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6571264, E 657620 i SWEREF 99 TM.</w:t>
      </w:r>
    </w:p>
    <w:p>
      <w:r>
        <w:t>I och inom 20 meter från avverkningsanmälan finns fynd av 3 naturvårdsarter, varav 2 är rödlistade, 1 är fridlyst och 1 är typisk (T): fjällig taggsvamp s.str. (NT), tallticka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