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48514-2025 i Botkyrka kommun</w:t>
      </w:r>
    </w:p>
    <w:p>
      <w:r>
        <w:t>Denna tillsynsbegäran behandlar höga naturvärden i avverkningsanmälan A 48514-2025 i Botkyrka kommun som inkom 2025-10-06 och omfattar 17,1 ha.</w:t>
      </w:r>
    </w:p>
    <w:p>
      <w:pPr>
        <w:pStyle w:val="Caption"/>
      </w:pPr>
      <w:r>
        <w:drawing>
          <wp:inline xmlns:a="http://schemas.openxmlformats.org/drawingml/2006/main" xmlns:pic="http://schemas.openxmlformats.org/drawingml/2006/picture">
            <wp:extent cx="5208518" cy="5724000"/>
            <wp:docPr id="1" name="Picture 1"/>
            <wp:cNvGraphicFramePr>
              <a:graphicFrameLocks noChangeAspect="1"/>
            </wp:cNvGraphicFramePr>
            <a:graphic>
              <a:graphicData uri="http://schemas.openxmlformats.org/drawingml/2006/picture">
                <pic:pic>
                  <pic:nvPicPr>
                    <pic:cNvPr id="0" name="A 48514-2025 karta.png"/>
                    <pic:cNvPicPr/>
                  </pic:nvPicPr>
                  <pic:blipFill>
                    <a:blip r:embed="rId16"/>
                    <a:stretch>
                      <a:fillRect/>
                    </a:stretch>
                  </pic:blipFill>
                  <pic:spPr>
                    <a:xfrm>
                      <a:off x="0" y="0"/>
                      <a:ext cx="5208518"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6564781, E 665466 i SWEREF 99 TM.</w:t>
      </w:r>
    </w:p>
    <w:p>
      <w:r>
        <w:t>I och inom 4 meter från avverkningsanmälan finns fynd av 9 naturvårdsarter, varav 8 är rödlistade, 2 är fridlysta, 3 är typiska (T) och 1 är signalart (S): hasselsnok (VU, §4a), igelkott (VU), lammticka (VU), motaggsvamp (NT, T), skarp dropptaggsvamp (NT), svartvit taggsvamp (NT), tallticka (NT, T), talltita (NT, §4)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