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25319-2026 i Botkyrka kommun</w:t>
      </w:r>
    </w:p>
    <w:p>
      <w:r>
        <w:t>Denna tillsynsbegäran behandlar höga naturvärden i avverkningsanmälan A 25319-2026 i Botkyrka kommun som inkom 2026-06-03 och omfattar 1,6 ha.</w:t>
      </w:r>
    </w:p>
    <w:p>
      <w:pPr>
        <w:pStyle w:val="Caption"/>
      </w:pPr>
      <w:r>
        <w:drawing>
          <wp:inline xmlns:a="http://schemas.openxmlformats.org/drawingml/2006/main" xmlns:pic="http://schemas.openxmlformats.org/drawingml/2006/picture">
            <wp:extent cx="5486400" cy="4323132"/>
            <wp:docPr id="1" name="Picture 1"/>
            <wp:cNvGraphicFramePr>
              <a:graphicFrameLocks noChangeAspect="1"/>
            </wp:cNvGraphicFramePr>
            <a:graphic>
              <a:graphicData uri="http://schemas.openxmlformats.org/drawingml/2006/picture">
                <pic:pic>
                  <pic:nvPicPr>
                    <pic:cNvPr id="0" name="A 25319-2026 karta.png"/>
                    <pic:cNvPicPr/>
                  </pic:nvPicPr>
                  <pic:blipFill>
                    <a:blip r:embed="rId16"/>
                    <a:stretch>
                      <a:fillRect/>
                    </a:stretch>
                  </pic:blipFill>
                  <pic:spPr>
                    <a:xfrm>
                      <a:off x="0" y="0"/>
                      <a:ext cx="5486400" cy="43231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6557241, E 660637 i SWEREF 99 TM.</w:t>
      </w:r>
    </w:p>
    <w:p>
      <w:r>
        <w:t>I avverkningsanmälan finns fynd av 2 naturvårdsarter, varav 1 är fridlyst, 2 är typiska (T) och 1 är signalart (S): grovticka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