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12818-2026 i Botkyrka kommun</w:t>
      </w:r>
    </w:p>
    <w:p>
      <w:r>
        <w:t>Detta dokument behandlar höga naturvärden i avverkningsanmälan A 12818-2026 i Botkyrka kommun som inkom 2026-03-11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8 naturvårdsarter hittats: motaggsvamp (NT, T), vintertagging (NT), blomkålssvamp (S), blåmossa (S, T), grovticka (S, T), nattskärra (T, §4), tofsmes (T, §4) och kungsfågel (§4).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39395" cy="5688000"/>
            <wp:docPr id="1" name="Picture 1"/>
            <wp:cNvGraphicFramePr>
              <a:graphicFrameLocks noChangeAspect="1"/>
            </wp:cNvGraphicFramePr>
            <a:graphic>
              <a:graphicData uri="http://schemas.openxmlformats.org/drawingml/2006/picture">
                <pic:pic>
                  <pic:nvPicPr>
                    <pic:cNvPr id="0" name="A 12818-2026 karta.png"/>
                    <pic:cNvPicPr/>
                  </pic:nvPicPr>
                  <pic:blipFill>
                    <a:blip r:embed="rId16"/>
                    <a:stretch>
                      <a:fillRect/>
                    </a:stretch>
                  </pic:blipFill>
                  <pic:spPr>
                    <a:xfrm>
                      <a:off x="0" y="0"/>
                      <a:ext cx="5439395" cy="5688000"/>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6557046, E 662435 i SWEREF 99 TM.</w:t>
      </w:r>
    </w:p>
    <w:p>
      <w:pPr>
        <w:pStyle w:val="Heading2"/>
      </w:pPr>
      <w:r>
        <w:t>Fridlysta arter</w:t>
      </w:r>
    </w:p>
    <w:p>
      <w:r>
        <w:t>Följande fridlysta arter har sina livsmiljöer och växtplatser i den avverkningsanmälda skogen: nattskärra (T, §4), tofsmes (T,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2"/>
      </w:pPr>
      <w:r>
        <w:t>Övriga naturvårdsarter</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