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2990-2023 i Salems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