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180-2023 i Sale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