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18 naturvårdsarter, varav 6 är rödlistade, 6 är fridlysta, 13 är typiska (T) och 6 är signalarter (S): rotfingersvamp (VU), dropptaggsvamp (NT, T), motaggsvamp (NT, T), tallkötticka (NT), talltita (NT, §4), ullticka (NT, T), blåmossa (S, T), grön sköldmossa (S, T, §8), grönpyrola (S, T), kornknutmossa (S, T), mindre märgborre (S, T), vedticka (S, T), ekbräken (T), hultbräken (T), spillkråka (T, §4), tofsmes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blåmossa (S, T), grön sköldmossa (S, T, §8), grönpyrola (S, T), kornknutmossa (S, T), mindre märgborre (S, T), vedticka (S, T), ekbräken (T), hultbräken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