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66380-2021 i Haninge kommun</w:t>
      </w:r>
    </w:p>
    <w:p>
      <w:r>
        <w:t>Denna tillsynsbegäran behandlar höga naturvärden i avverkningsanmälan A 66380-2021 i Haninge kommun som inkom 2021-11-18 och omfattar 10,3 ha.</w:t>
      </w:r>
    </w:p>
    <w:p>
      <w:pPr>
        <w:pStyle w:val="Caption"/>
      </w:pPr>
      <w:r>
        <w:drawing>
          <wp:inline xmlns:a="http://schemas.openxmlformats.org/drawingml/2006/main" xmlns:pic="http://schemas.openxmlformats.org/drawingml/2006/picture">
            <wp:extent cx="5486400" cy="3688869"/>
            <wp:docPr id="1" name="Picture 1"/>
            <wp:cNvGraphicFramePr>
              <a:graphicFrameLocks noChangeAspect="1"/>
            </wp:cNvGraphicFramePr>
            <a:graphic>
              <a:graphicData uri="http://schemas.openxmlformats.org/drawingml/2006/picture">
                <pic:pic>
                  <pic:nvPicPr>
                    <pic:cNvPr id="0" name="A 66380-2021 karta.png"/>
                    <pic:cNvPicPr/>
                  </pic:nvPicPr>
                  <pic:blipFill>
                    <a:blip r:embed="rId16"/>
                    <a:stretch>
                      <a:fillRect/>
                    </a:stretch>
                  </pic:blipFill>
                  <pic:spPr>
                    <a:xfrm>
                      <a:off x="0" y="0"/>
                      <a:ext cx="5486400" cy="3688869"/>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har ett svart streck som visar fyndplatsens exakta position. Kartans mittpunktskoordinat är N 6553845, E 693436 i SWEREF 99 TM.</w:t>
      </w:r>
    </w:p>
    <w:p>
      <w:r>
        <w:t>I och inom 24 meter från avverkningsanmälan finns fynd av 71 naturvårdsarter, varav 31 är rödlistade, 27 är fridlysta, 30 är typiska (T) och 24 är signalarter (S): skogsalm (EN), grönfink (VU, §4), knärot (VU, T, §8), liten hornflikmossa (VU), ryl (VU, T), björktrast (NT, §4), brunlångöra (NT, §4a), desmeknopp (NT), duvhök (NT, §4), entita (NT, T, §4), fjällig taggsvamp s.str. (NT), grönhjon (NT), luddfingersvamp (NT), mindre hackspett (NT, T, §4), motaggsvamp (NT, T), nordfladdermus (NT, §4a), reliktbock (NT, T), rödfläckig zontaggsvamp (NT), rödvingetrast (NT, §4), skarp dropptaggsvamp (NT), skrattmås (NT, §4), sotvaxskivling (NT), strandskata (NT, §4), sårläka (NT, T), tallticka (NT, T), talltita (NT, §4), ullticka (NT, T), vaddporing (NT), vedskivlav (NT, T), älg (NT), Porodaedalea chrysoloma (DD), björksplintborre (S), blek stjärnmossa (S, T), blåmossa (S, T), bronshjon (S, T), diskvaxskivling (S), dvärghäxört (S, T), fällmossa (S, T), granbarkgnagare (S, T), grovticka (S, T), grön sköldmossa (S, T, §8), guldlockmossa (S, T), jättesvampmal (S), kornknutmossa (S, T), mindre märgborre (S, T), platt fjädermossa (S, T), scharlakansvårskål agg. (S), smal svampklubba (S), stubbspretmossa (S, T), svavelriska (S), thomsons trägnagare (S), trådticka (S, T), vedticka (S, T), västlig hakmossa (S), vågbandad barkbock (S), blåsippa (T, §9), krushättemossa (T), linnea (T), spillkråka (T, §4), tofsmes (T, §4), dvärgpipistrell (§4a), gröngöling (§4), grönsiska (§4), havsörn (§4), kråka (§4), kungsfågel (§4), sångsvan (§4), vattenfladdermus (§4a), vanlig groda (§6), lopplummer (aggregat) (§9)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3.57 ha med buffertzonerna och får av detta skäl inte avverkas.</w:t>
      </w:r>
    </w:p>
    <w:p>
      <w:pPr>
        <w:pStyle w:val="Caption"/>
      </w:pPr>
      <w:r>
        <w:drawing>
          <wp:inline xmlns:a="http://schemas.openxmlformats.org/drawingml/2006/main" xmlns:pic="http://schemas.openxmlformats.org/drawingml/2006/picture">
            <wp:extent cx="5486400" cy="5867484"/>
            <wp:docPr id="2" name="Picture 2"/>
            <wp:cNvGraphicFramePr>
              <a:graphicFrameLocks noChangeAspect="1"/>
            </wp:cNvGraphicFramePr>
            <a:graphic>
              <a:graphicData uri="http://schemas.openxmlformats.org/drawingml/2006/picture">
                <pic:pic>
                  <pic:nvPicPr>
                    <pic:cNvPr id="0" name="A 66380-2021 karta knärot.png"/>
                    <pic:cNvPicPr/>
                  </pic:nvPicPr>
                  <pic:blipFill>
                    <a:blip r:embed="rId17"/>
                    <a:stretch>
                      <a:fillRect/>
                    </a:stretch>
                  </pic:blipFill>
                  <pic:spPr>
                    <a:xfrm>
                      <a:off x="0" y="0"/>
                      <a:ext cx="5486400" cy="58674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6553845, E 693436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Ryl (VU)</w:t>
      </w:r>
      <w:r>
        <w:t xml:space="preserve"> påträffas i gamla ljusöppna barrskogar, främst tallskogar på väldränerade och kalkrika jordar med tunna humuslager. Vid skogsbruk måste man ta hänsyn till arten och lokaler bör undantas från kalavverkning, markberedning och skogsgödsling. På lokaler med riklig förekomst av ryl kan den sällsynta bladparasiten rylprick (EN)</w:t>
      </w:r>
      <w:r>
        <w:rPr>
          <w:i/>
        </w:rPr>
        <w:t xml:space="preserve"> </w:t>
      </w:r>
      <w:r>
        <w:t xml:space="preserve">påträffas. Parasiten bildar små svarta prickar på rylens blad. Ryl är typisk art för </w:t>
      </w:r>
      <w:r>
        <w:rPr>
          <w:i/>
        </w:rPr>
        <w:t xml:space="preserve">9010 Taiga </w:t>
      </w:r>
      <w:r>
        <w:t>och</w:t>
      </w:r>
      <w:r>
        <w:rPr>
          <w:i/>
        </w:rPr>
        <w:t xml:space="preserve"> 2180 Trädklädda dyner</w:t>
      </w:r>
      <w:r>
        <w:t xml:space="preserve"> (SLU Artdatabanken, 2026; Nitare &amp; Skogsstyrelsen, 2019).</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Desmeknopp (NT)</w:t>
      </w:r>
      <w:r>
        <w:t xml:space="preserve"> förekommer främst i södra delarna av landet, enstaka spridda förekomster finns till åtminstone Medelpad. Växer i skilda miljöer, företrädesvis i lövskog där marken är fuktig, skuggig, närings- och mullrik. Arten har minskat kraftigt under senare år, framför allt på grund av skogsavverkningar och dräneringar. Minskningstakten har uppgått till 25 (15–35) % under de senaste 30 åren och bedöms vara nära gränsvärdet för Sårbar (VU). (A2bc+4abc). Skogsavverkning på lokaler med förekomst av desmeknopp missgynnar eller utplånar arten (SLU Artdatabanken, 2024; Nitare &amp; Skogsstyrelsen, 2019).</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Rödfläckig zontaggsvamp (NT)</w:t>
      </w:r>
      <w:r>
        <w:t xml:space="preserve"> bildar mykorrhiza med gran i barrskog på kalkrik eller annan basiskt påverkad mark. Den totala populationen i landet har minskat och bedöms fortsätta minska till följd av avverkning av äldre kalkbarrskog. Det finns inga indikationer på att arten långsiktigt kan etablera eller reproducera sig i skogsbestånd som brukas med trakthyggesmetoder, markberedning, gödsling eller föryngring med förädlat plantmaterial (SLU Artdatabanken, 2026).</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Sotvaxskivling (NT)</w:t>
      </w:r>
      <w:r>
        <w:t xml:space="preserve"> bildar mykorrhiza med gran och tall i barrskogar med lång trädkontinuitet. Den totala populationen i landet har minskat och bedöms fortsätta minska till följd av avverkning av äldre barrskogar. Arten har begränsad förmåga att återetablera sig efter slutavverkning eller andra storskaliga skogsbruksåtgärder. Det finns inga indikationer på att den långsiktigt kan etablera eller reproducera sig i skogsbestånd som brukas med trakthyggesmetoder, markberedning, gödsling eller föryngring med förädlat plantmaterial (SLU Artdatabanken, 2026).</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i/>
        </w:rPr>
        <w:t>Porodaedalea chrysoloma (DD)</w:t>
      </w:r>
      <w:r>
        <w:t xml:space="preserve"> förekommer främst i äldre skogar med naturskogskaraktär och är en god signalart för skyddsvärda granskogsmiljöer. Den bedöms ha minskat starkt under senare år på grund av skogsavverkningar, då den framför allt växer i äldre grannaturskog med långvarig grankontinuitet. Det som tidigare inbegripit grantickan har visat sig röra sig om två arter; tajgagranticka </w:t>
      </w:r>
      <w:r>
        <w:rPr>
          <w:i/>
        </w:rPr>
        <w:t>Porodaedalea abietis</w:t>
      </w:r>
      <w:r>
        <w:t xml:space="preserve"> (LC) och </w:t>
      </w:r>
      <w:r>
        <w:rPr>
          <w:i/>
        </w:rPr>
        <w:t>Porodaedalea chrysoloma</w:t>
      </w:r>
      <w:r>
        <w:t xml:space="preserve"> </w:t>
      </w:r>
      <w:r>
        <w:rPr>
          <w:i/>
        </w:rPr>
        <w:t>(DD)</w:t>
      </w:r>
      <w:r>
        <w:t xml:space="preserve">. Den nordligare arten, tajgagranticka, bildar större fruktkroppar och har sin främsta förekomst i norra Sverige, medan den mer tunnköttiga arten, </w:t>
      </w:r>
      <w:r>
        <w:rPr>
          <w:i/>
        </w:rPr>
        <w:t>P. chrysoloma</w:t>
      </w:r>
      <w:r>
        <w:t xml:space="preserve">, förekommer i sydöstra Sverige och på Gotland. Faktaunderlaget för </w:t>
      </w:r>
      <w:r>
        <w:rPr>
          <w:i/>
        </w:rPr>
        <w:t>P. chrysoloma</w:t>
      </w:r>
      <w:r>
        <w:t xml:space="preserve"> bedöms vara otillräckligt för att avgöra vilken av de olika rödlistningskategorierna som är mest trolig (SLU Artdatabanken, 2026;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Blek stjärnmossa</w:t>
      </w:r>
      <w:r>
        <w:t xml:space="preserve"> påträffas på skuggiga och något fuktiga platser i skog, till exempel i fuktiga klippspringor, skrevor och håligheter. I strandskog växer den även på trädrötter och i branter på jord under till exempel hasselbuskar. Arten tycks trivas bäst i ädellövnaturskog samt i ädellövskog på kalkrik mark och i grönstensbranter. Artens miljöer brukar hysa flera ovanliga och rödlistade arter. Blek stjärnmossa är typisk art för </w:t>
      </w:r>
      <w:r>
        <w:rPr>
          <w:i/>
        </w:rPr>
        <w:t>9160 Näringsrik ekskog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Dvärghäxört </w:t>
      </w:r>
      <w:r>
        <w:t xml:space="preserve">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Dvärghäxört är typisk art för </w:t>
      </w:r>
      <w:r>
        <w:rPr>
          <w:i/>
        </w:rPr>
        <w:t>9080 Lövsumpskog</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Guldlockmossa</w:t>
      </w:r>
      <w:r>
        <w:t xml:space="preserve"> växer på solexponerade, basiska klippor och block samt på skrovlig bark vid basen av ädellövträd med rik bark, ofta på gamla ekar, bokar och andra ädellövträd som står öppet i bryn. Särskilt högt signalvärde har den i norra Sverige där den sällsynt kan påträffas i sydväxtberg på klippor med basiska bergarter. Guldlockmossa är typisk art för </w:t>
      </w:r>
      <w:r>
        <w:rPr>
          <w:i/>
        </w:rPr>
        <w:t xml:space="preserve">9110 Näringsfattig bokskog, 9160 Näringsrik ekskog, 9180 Ädellövskog i branter </w:t>
      </w:r>
      <w:r>
        <w:t xml:space="preserve">och </w:t>
      </w:r>
      <w:r>
        <w:rPr>
          <w:i/>
        </w:rPr>
        <w:t xml:space="preserve">9190 Näringsfattig ekskog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Platt fjädermossa </w:t>
      </w:r>
      <w:r>
        <w:t>växer på såväl trädstammar (särskilt bok och andra ädla lövträd) som klippor (helst basiska bergarter). Norrut förekommer den endast på basiska klippor. Rika förekomster och fynd med sporkapslar indikerar höga naturvärden och en artrik mossbiotop.</w:t>
      </w:r>
      <w:r>
        <w:rPr>
          <w:b/>
        </w:rPr>
        <w:t xml:space="preserve"> </w:t>
      </w:r>
      <w:r>
        <w:t xml:space="preserve">Platt fjädermossa är typisk art för </w:t>
      </w:r>
      <w:r>
        <w:rPr>
          <w:i/>
        </w:rPr>
        <w:t>9010 Taiga,</w:t>
      </w:r>
      <w:r>
        <w:t xml:space="preserve"> </w:t>
      </w:r>
      <w:r>
        <w:rPr>
          <w:i/>
        </w:rPr>
        <w:t>9020 Nordlig ädellövskog, 9110 Näringsfattig bokskog, 9130 Näringsrik bokskog, 9160 Näringsrik ekskog, 9180 Ädellövskog i branter</w:t>
      </w:r>
      <w:r>
        <w:t xml:space="preserve"> och</w:t>
      </w:r>
      <w:r>
        <w:rPr>
          <w:i/>
        </w:rPr>
        <w:t xml:space="preserve"> 9190 Näringsfattig ekskog </w:t>
      </w:r>
      <w:r>
        <w:t>(Nitare &amp; Skogsstyrelsen, 2019;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Havsörn (§4)</w:t>
      </w:r>
      <w:r>
        <w:t xml:space="preserve"> omfattas av bilaga 1 EU:s fågeldirektiv. Skyddandet av befintliga bon måste upprätthållas och i samband med skogsavverkning bör en skyddszon på minst 100 meters radie runt boplatsen lämnas intakt. Under häckningsperioden (1 januari till 15 augusti) är havsörnen störningskänslig och inga skogsbruksåtgärder eller annan störande verksamhet får förekomma närmare än 500 m från boet under den tiden. För att åstadkomma en succession av lämpliga boträd för kommande generationer av havsörnar behöver ett betydligt större antal s.k. evighetsträd sparas vid avverkningar redan idag (SLU Artdatabanken, 2026;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ryl (VU, T), entita (NT, T, §4), mindre hackspett (NT, T, §4), motaggsvamp (NT, T), reliktbock (NT, T), sårläka (NT, T), tallticka (NT, T), ullticka (NT, T), vedskivlav (NT, T), blek stjärnmossa (S, T), blåmossa (S, T), bronshjon (S, T), dvärghäxört (S, T), fällmossa (S, T), granbarkgnagare (S, T), grovticka (S, T), grön sköldmossa (S, T, §8), guldlockmossa (S, T), kornknutmossa (S, T), mindre märgborre (S, T), platt fjädermossa (S, T), stubbspretmossa (S, T), trådticka (S, T), vedticka (S, T), blåsippa (T, §9), krushättemossa (T), linnea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Havsörn – ekologi samt krav på livsmiljön</w:t>
      </w:r>
    </w:p>
    <w:p>
      <w:r>
        <w:t>Havsörn är fridlyst enligt 4§ artskyddsförordningen och upptagen i bilaga 1 EU:s fågeldirektiv. Havsörnen häckar i anslutning till skärgårdar, kuster, sjöar och vattendrag, ofta på öar men ibland även ganska långt från vatten. I svenska kustområden varierar medelavståndet mellan etablerade par från ca 13 km till under 5 km, mest beroende på bytestillgänglighet; minsta avstånd mellan samtidigt bebodda bon i vårt land är ca 1,5 km. Ofta har ett havsörnspar flera olika bon som kan användas omväxlande (SLU Artdatabanken, 2026; Skogsstyrelsen, 2016).</w:t>
      </w:r>
    </w:p>
    <w:p>
      <w:r>
        <w:t>Boet byggs nästan uteslutande i träd, oftast tallar. Häckar sällsynt även på klipphyllor eller direkt på marken. Boet placeras oftast i trädets övre del och kan bli mycket stort, vilket ställer stora krav på boträdet. Trädet måste ha en stark, bärande krona med lämpliga grova grenar, vilket utvecklas först när trädet har uppnått en hög ålder. Genomsnittsåldern hos botallar vid svenska Ostkusten under 1970- och 80-talet var 160 år (från 100 till 350 år) men har sannolikt redan nu sjunkit betydligt genom en brist på gamla träd. Frekvensen nybyggda bon i för svaga träd där boet rasat under häckningen har ökat markant under senare år i Syd- och Mellansverige. I Lappland var boträden i snitt 350 år (200 – ca 600 år). Mot bakgrund av de lägsta uppmätta åldrarna hos dessa fungerande boträd utgör den sjunkande omloppstiden vid slutavverkningar i Sverige ett hot – det kommer inte att räcka med att spara överståndare vid slutavverkningar av kanske högst 70-åriga bestånd i framtiden (SLU Artdatabanken, 2026; Skogsstyrelsen, 2016).</w:t>
      </w:r>
    </w:p>
    <w:p>
      <w:r>
        <w:t>Skyddandet av befintliga bon måste upprätthållas och i samband med skogsavverkning ska befintliga boträd sparas med en lämpligt avgränsad skyddszon runtom. Vid slutavverkning bör en skyddszon på 100 meters radie runt boplatsen lämnas intakt. Under häckningsperioden (1 januari till 15 augusti) är havsörnen störningskänslig och inga skogsbruksåtgärder eller annan störande verksamhet får förekomma närmare än 500 m från boet under den tiden. (SLU Artdatabanken, 2026; Skogsstyrelsen, 2016).</w:t>
      </w:r>
    </w:p>
    <w:p>
      <w:r>
        <w:t>För att garantera möjligheter till häckning även i framtiden bör ett nätverk av häckningsområden skyddas inom artens hela naturliga utbredningsområde i landet. Havsörnen är upptagen bland de arter som enligt fågeldirektivet/habitatdirektivet har ett sådant gemenskapsintresse inom EU att särskilda skydds- eller bevarandeområden behöver utses (Miljöbalken, Bilagan till Artskyddsförordningen 1998:179, reviderad 2001). Arten är beroende av grova träd för placering av sina stora risbon och detta kan bli en begränsande faktor kommande 30 år (tre generationer). För att åstadkomma en succession av lämpliga boträd för kommande generationer av havsörnar behöver ett betydligt större antal s.k. evighetsträd sparas vid avverkningar redan idag. (SLU Artdatabanken, 2026).</w:t>
      </w:r>
    </w:p>
    <w:p>
      <w:pPr>
        <w:pStyle w:val="Heading2"/>
      </w:pPr>
      <w:r>
        <w:t>Referenser – havsörn</w:t>
      </w:r>
    </w:p>
    <w:p>
      <w:r>
        <w:t xml:space="preserve">Skogsstyrelsen, 2016. </w:t>
      </w:r>
      <w:r>
        <w:rPr>
          <w:i/>
        </w:rPr>
        <w:t xml:space="preserve">Vägledning för hänsyn till havsörn.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