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3151-2025 i Haninge kommun</w:t>
      </w:r>
    </w:p>
    <w:p>
      <w:r>
        <w:t>Detta dokument behandlar höga naturvärden i avverkningsanmälan A 3151-2025 i Haninge kommun. Denna avverkningsanmälan inkom 2025-01-22 00:00:00 och omfattar 19,8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42 naturvårdsarter hittats: knärot (VU, §8), ringlav (VU), vågticka (VU), fyrflikig jordstjärna (NT), garnlav (NT), granticka (NT), gränsticka (NT), gul taggsvamp (NT), mindre hackspett (NT, §4), motaggsvamp (NT), spillkråka (NT, §4), tallticka (NT), talltita (NT, §4), ullticka (NT), vedtrappmossa (NT), vintertagging (NT), björksplintborre (S), blomkålssvamp (S), bronshjon (S), fjällig taggsvamp s.str. (S), grovticka (S), grön sköldmossa (S, §8), grönpyrola (S), korallrot (S, §8), mindre märgborre (S), plattlummer (S, §9), skarp dropptaggsvamp (S), spindelblomster (S, §8), stubbspretmossa (S), thomsons trägnagare (S), tjockfotad fingersvamp (S), trådticka (S), vedticka (S), västlig hakmossa (S), vågbandad barkbock (S), tjäder (§4), åkergroda (§4a), vanlig groda (§6), vanlig padda (§6), fläcknycklar (§8), mattlummer (§9)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4724"/>
            <wp:docPr id="1" name="Picture 1"/>
            <wp:cNvGraphicFramePr>
              <a:graphicFrameLocks noChangeAspect="1"/>
            </wp:cNvGraphicFramePr>
            <a:graphic>
              <a:graphicData uri="http://schemas.openxmlformats.org/drawingml/2006/picture">
                <pic:pic>
                  <pic:nvPicPr>
                    <pic:cNvPr id="0" name="A 3151-2025 karta.png"/>
                    <pic:cNvPicPr/>
                  </pic:nvPicPr>
                  <pic:blipFill>
                    <a:blip r:embed="rId16"/>
                    <a:stretch>
                      <a:fillRect/>
                    </a:stretch>
                  </pic:blipFill>
                  <pic:spPr>
                    <a:xfrm>
                      <a:off x="0" y="0"/>
                      <a:ext cx="5486400" cy="3044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6563057, E 686775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Gul taggsvamp (NT) </w:t>
      </w:r>
      <w:r>
        <w:t xml:space="preserve">bildar mykorrhiza med gran helst på kalkrik mark, gärna i fuktig äldre ängsgranskog. Slutavverkning och markberedning missgynnar arten och fler områden med äldre skog på näringsrik mark, framför allt i södra och mellersta Sverige, behöver bevaras. Gul taggsvamp är typisk art för </w:t>
      </w:r>
      <w:r>
        <w:rPr>
          <w:i/>
        </w:rPr>
        <w:t>9050 Näringsrik granskog</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mindre hackspett (NT, §4), spillkråka (NT, §4), talltita (NT, §4), grön sköldmossa (S, §8), korallrot (S, §8), plattlummer (S, §9), spindelblomster (S, §8), tjäder (§4), åkergroda (§4a), vanlig groda (§6), vanlig padda (§6), fläcknycklar (§8),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3.61 ha med buffertzonerna och får av detta skäl inte avverkas.</w:t>
      </w:r>
    </w:p>
    <w:p>
      <w:pPr>
        <w:pStyle w:val="Caption"/>
      </w:pPr>
      <w:r>
        <w:drawing>
          <wp:inline xmlns:a="http://schemas.openxmlformats.org/drawingml/2006/main" xmlns:pic="http://schemas.openxmlformats.org/drawingml/2006/picture">
            <wp:extent cx="5486400" cy="4103263"/>
            <wp:docPr id="2" name="Picture 2"/>
            <wp:cNvGraphicFramePr>
              <a:graphicFrameLocks noChangeAspect="1"/>
            </wp:cNvGraphicFramePr>
            <a:graphic>
              <a:graphicData uri="http://schemas.openxmlformats.org/drawingml/2006/picture">
                <pic:pic>
                  <pic:nvPicPr>
                    <pic:cNvPr id="0" name="A 3151-2025 karta knärot.png"/>
                    <pic:cNvPicPr/>
                  </pic:nvPicPr>
                  <pic:blipFill>
                    <a:blip r:embed="rId17"/>
                    <a:stretch>
                      <a:fillRect/>
                    </a:stretch>
                  </pic:blipFill>
                  <pic:spPr>
                    <a:xfrm>
                      <a:off x="0" y="0"/>
                      <a:ext cx="5486400" cy="41032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6563057, E 686775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Mattlummer (§9)</w:t>
      </w:r>
      <w:r>
        <w:t xml:space="preserve"> är typisk art för </w:t>
      </w:r>
      <w:r>
        <w:rPr>
          <w:i/>
        </w:rPr>
        <w:t xml:space="preserve">9010 Taiga </w:t>
      </w:r>
      <w:r>
        <w:t>(SLU Artdatabanken, 2025).</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42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