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300871"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30087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60 naturvårdsarter, varav 25 är rödlistade, 22 är fridlysta, 34 är typiska (T) och 21 är signalarter (S): garnlav (VU, T), goliatmusseron (VU, T), gränsticka (VU, T), gul taggsvamp (VU, T), knärot (VU, T, §8), ringlav (VU), rotfingersvamp (VU), brunlångöra (NT, §4a), dropptaggsvamp (NT, T), fjällig taggsvamp s.str. (NT), fyrflikig jordstjärna (NT, T), mindre hackspett (NT, T, §4), motaggsvamp (NT, T), nordfladdermus (NT, §4a), reliktbock (NT, T), skarp dropptaggsvamp (NT), talltagel (NT, T), tallticka (NT, T), talltita (NT, §4), tjockfotad fingersvamp (NT), ullticka (NT, 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hultbräken (T), mattlummer (T, §9), spillkråka (T, §4), tjäder (T, §4), tofsmes (T, §4), dvärgpipistrell (§4a), större brunfladdermus (§4a), vattenfladdermus (§4a),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