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59566-2025 i Haninge kommun</w:t>
      </w:r>
    </w:p>
    <w:p>
      <w:r>
        <w:t>Detta klagomål behandlar höga naturvärden i avverkningsanmälan A 59566-2025 i Haninge kommun som inkom 2025-11-30 och omfattar 1,7 ha.</w:t>
      </w:r>
    </w:p>
    <w:p>
      <w:pPr>
        <w:pStyle w:val="Caption"/>
      </w:pPr>
      <w:r>
        <w:drawing>
          <wp:inline xmlns:a="http://schemas.openxmlformats.org/drawingml/2006/main" xmlns:pic="http://schemas.openxmlformats.org/drawingml/2006/picture">
            <wp:extent cx="5486400" cy="4436072"/>
            <wp:docPr id="1" name="Picture 1"/>
            <wp:cNvGraphicFramePr>
              <a:graphicFrameLocks noChangeAspect="1"/>
            </wp:cNvGraphicFramePr>
            <a:graphic>
              <a:graphicData uri="http://schemas.openxmlformats.org/drawingml/2006/picture">
                <pic:pic>
                  <pic:nvPicPr>
                    <pic:cNvPr id="0" name="A 59566-2025 karta.png"/>
                    <pic:cNvPicPr/>
                  </pic:nvPicPr>
                  <pic:blipFill>
                    <a:blip r:embed="rId16"/>
                    <a:stretch>
                      <a:fillRect/>
                    </a:stretch>
                  </pic:blipFill>
                  <pic:spPr>
                    <a:xfrm>
                      <a:off x="0" y="0"/>
                      <a:ext cx="5486400" cy="44360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6562376, E 685079 i SWEREF 99 TM.</w:t>
      </w:r>
    </w:p>
    <w:p>
      <w:r>
        <w:t>I och inom 25 meter från avverkningsanmälan finns fynd av 18 naturvårdsarter, varav 6 är rödlistade, 6 är fridlysta, 13 är typiska (T) och 6 är signalarter (S): rotfingersvamp (VU), dropptaggsvamp (NT, T), motaggsvamp (NT, T), tallkötticka (NT), talltita (NT, §4), ullticka (NT, T), blåmossa (S, T), grön sköldmossa (S, T, §8), grönpyrola (S, T), kornknutmossa (S, T), mindre märgborre (S, T), vedticka (S, T), ekbräken (T), hultbräken (T), spillkråka (T, §4), tofsmes (T, §4), kopparödla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