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som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71 naturvårdsarter hittats: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Av dessa är 31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886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68886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2"/>
      </w:pPr>
      <w:r>
        <w:t>Fridlysta arter</w:t>
      </w:r>
    </w:p>
    <w:p>
      <w:r>
        <w:t>Följande fridlysta arter har sina livsmiljöer och växtplatser i den avverkningsanmälda skogen: grönfink (VU, §4), knärot (VU, T, §8), björktrast (NT, §4), brunlångöra (NT, §4a), duvhök (NT, §4), entita (NT, T, §4), mindre hackspett (NT, T, §4), nordfladdermus (NT, §4a), rödvingetrast (NT, §4), skrattmås (NT, §4), strandskata (NT, §4), talltita (NT, §4), grön sköldmossa (S, T, §8), blåsippa (T, §9), spillkråka (T, §4), tofsmes (T, §4), dvärgpipistrell (§4a), gröngöling (§4), grönsiska (§4), havsörn (§4), kråka (§4), kungsfågel (§4), sångsvan (§4), vattenfladdermus (§4a),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