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6703-2020 i Haninge kommun</w:t>
      </w:r>
    </w:p>
    <w:p>
      <w:r>
        <w:t>Detta dokument behandlar höga naturvärden i avverkningsanmälan A 6703-2020 i Haninge kommun. Denna avverkningsanmälan inkom 2020-02-04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ask (EN), gulsparv (NT, §4), spillkråka (NT, §4), tallticka (NT), grön sköldmossa (S, §8), scharlakansvårskål agg. (S), skogshakmossa (S), västlig hakmossa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6703-2020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6549075, E 692980 i SWEREF 99 TM.</w:t>
      </w:r>
    </w:p>
    <w:p>
      <w:pPr>
        <w:pStyle w:val="Heading1"/>
      </w:pPr>
      <w:r>
        <w:t>Fridlysta arter</w:t>
      </w:r>
    </w:p>
    <w:p>
      <w:r>
        <w:t>Följande fridlysta arter har sina livsmiljöer och växtplatser i den avverkningsanmälda skogen: gulsparv (NT, §4), spillkråka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