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17454-2026 i Haninge kommun</w:t>
      </w:r>
    </w:p>
    <w:p>
      <w:r>
        <w:t>Denna tillsynsbegäran behandlar höga naturvärden i avverkningsanmälan A 17454-2026 i Haninge kommun som inkom 2026-04-08 och omfattar 31,4 ha.</w:t>
      </w:r>
    </w:p>
    <w:p>
      <w:pPr>
        <w:pStyle w:val="Caption"/>
      </w:pPr>
      <w:r>
        <w:drawing>
          <wp:inline xmlns:a="http://schemas.openxmlformats.org/drawingml/2006/main" xmlns:pic="http://schemas.openxmlformats.org/drawingml/2006/picture">
            <wp:extent cx="5486400" cy="3702849"/>
            <wp:docPr id="1" name="Picture 1"/>
            <wp:cNvGraphicFramePr>
              <a:graphicFrameLocks noChangeAspect="1"/>
            </wp:cNvGraphicFramePr>
            <a:graphic>
              <a:graphicData uri="http://schemas.openxmlformats.org/drawingml/2006/picture">
                <pic:pic>
                  <pic:nvPicPr>
                    <pic:cNvPr id="0" name="A 17454-2026 karta.png"/>
                    <pic:cNvPicPr/>
                  </pic:nvPicPr>
                  <pic:blipFill>
                    <a:blip r:embed="rId16"/>
                    <a:stretch>
                      <a:fillRect/>
                    </a:stretch>
                  </pic:blipFill>
                  <pic:spPr>
                    <a:xfrm>
                      <a:off x="0" y="0"/>
                      <a:ext cx="5486400" cy="3702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6555594, E 683883 i SWEREF 99 TM.</w:t>
      </w:r>
    </w:p>
    <w:p>
      <w:r>
        <w:t>I avverkningsanmälan finns fynd av 19 naturvårdsarter, varav 3 är rödlistade, 5 är fridlysta, 15 är typiska (T) och 11 är signalarter (S): knärot (VU, T, §8), motaggsvamp (NT, T), ullticka (NT, T), barkticka (S, T), björksplintborre (S), blåmossa (S, T), blåsfliksmossa (S, T), granbarkgnagare (S, T), grön sköldmossa (S, T, §8), grönpyrola (S, T), guldlockmossa (S, T), mindre märgborre (S, T), thomsons trägnagare (S), västlig hakmossa (S), blåsippa (T, §9), glansfläck (T), skriftlav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3446440"/>
            <wp:docPr id="2" name="Picture 2"/>
            <wp:cNvGraphicFramePr>
              <a:graphicFrameLocks noChangeAspect="1"/>
            </wp:cNvGraphicFramePr>
            <a:graphic>
              <a:graphicData uri="http://schemas.openxmlformats.org/drawingml/2006/picture">
                <pic:pic>
                  <pic:nvPicPr>
                    <pic:cNvPr id="0" name="A 17454-2026 karta knärot.png"/>
                    <pic:cNvPicPr/>
                  </pic:nvPicPr>
                  <pic:blipFill>
                    <a:blip r:embed="rId17"/>
                    <a:stretch>
                      <a:fillRect/>
                    </a:stretch>
                  </pic:blipFill>
                  <pic:spPr>
                    <a:xfrm>
                      <a:off x="0" y="0"/>
                      <a:ext cx="5486400" cy="34464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6555594, E 683883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ullticka (NT, T), barkticka (S, T), blåmossa (S, T), blåsfliksmossa (S, T), granbarkgnagare (S, T), grön sköldmossa (S, T, §8), grönpyrola (S, T), guldlockmossa (S, T), mindre märgborre (S, T), blåsippa (T, §9), glansfläck (T), skriftlav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