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76479"/>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764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65 naturvårdsarter, varav 27 är rödlistade, 23 är fridlysta, 35 är typiska (T) och 21 är signalarter (S): garnlav (VU, T), goliatmusseron (VU, T), gränsticka (VU, T), jättemusseron (VU), knärot (VU, T, §8), lakritsmusseron (VU, T), rotfingersvamp (VU), skrovlig taggsvamp (VU), apelsinticka (NT), blå taggsvamp (NT, T), brunlångöra (NT, §4a), dropptaggsvamp (NT, T), fyrflikig jordstjärna (NT, T), gelatinfingersvamp (NT), lunglav (NT, T), motaggsvamp (NT, T), nordfladdermus (NT, §4a), orange taggsvamp (NT, 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flagellkvastmossa (S, T), fällmossa (S, T), grovticka (S, T), grön sköldmossa (S, T, §8), grönpyrola (S, T), mindre märgborre (S, T), nästlav (S, T), plattlummer (S, T, §9), spindelblomster (S, T, §8), stubbspretmossa (S, T), trådticka (S, T), vedticka (S, T), krushättemossa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