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602448"/>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60244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63 naturvårdsarter, varav 25 är rödlistade, 23 är fridlysta, 35 är typiska (T) och 21 är signalarter (S): garnlav (VU, T), goliatmusseron (VU, T), gränsticka (VU, T), jättemusseron (VU), knärot (VU, T, §8), lakritsmusseron (VU, T), rotfingersvamp (VU), apelsinticka (NT), blå taggsvamp (NT, T), brunlångöra (NT, §4a), dropptaggsvamp (NT, T), fyrflikig jordstjärna (NT, T), gelatinfingersvamp (NT), lunglav (NT, T), motaggsvamp (NT, T), nordfladdermus (NT, §4a), orange taggsvamp (NT, T), skarp dropptaggsvamp (NT), svartvit taggsvamp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vedskivlav (NT, T), vedtrappmossa (NT, T), blåmossa (S, T), bronshjon (S, T), flagellkvastmossa (S, T), fällmossa (S, T), grovticka (S, T), grön sköldmossa (S, T, §8), grönpyrola (S, T), mindre märgborre (S, T), nästlav (S, T), plattlummer (S, T, §9), spindelblomster (S, T, §8), stubbspretmossa (S, T), trådticka (S, T), vedticka (S, T), krushättemossa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