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18 naturvårdsarter, varav 6 är rödlistade, 6 är fridlysta, 13 är typiska (T) och 6 är signalarter (S): rotfingersvamp (VU), dropptaggsvamp (NT, T), motaggsvamp (NT, T), tallkötticka (NT), talltita (NT, §4), ullticka (NT, T), blåmossa (S, T), grön sköldmossa (S, T, §8), grönpyrola (S, T), kornknutmossa (S, T), mindre märgborre (S, T), vedticka (S, T), ekbräken (T), hultbräken (T), spillkråka (T, §4), tofsmes (T, §4),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