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18 naturvårdsarter, varav 6 är rödlistade, 6 är fridlysta, 13 är typiska (T) och 6 är signalarter (S): rotfingersvamp (VU), dropptaggsvamp (NT, T), motaggsvamp (NT, T), tallkötticka (NT), talltita (NT, §4), ullticka (NT, T), blåmossa (S, T), grön sköldmossa (S, T, §8), grönpyrola (S, T), kornknutmossa (S, T), mindre märgborre (S, T), vedticka (S, T), ekbräken (T), hultbräken (T), spillkråka (T, §4), tofsmes (T, §4),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blåmossa (S, T), grön sköldmossa (S, T, §8), grönpyrola (S, T), kornknutmossa (S, T), mindre märgborre (S, T), vedticka (S, T), ekbräken (T), hultbräken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