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60204-2023 i Haninge kommun</w:t>
      </w:r>
    </w:p>
    <w:p>
      <w:r>
        <w:t>Detta dokument behandlar höga naturvärden i avverkningsanmälan A 60204-2023 i Haninge kommun. Denna avverkningsanmälan inkom 2023-11-28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grangråticka (VU), rynkskinn (VU), dofttaggsvamp (NT), grantaggsvamp (NT), granticka (NT), havsörn (NT, §4), kandelabersvamp (NT), orange taggsvamp (NT), spillkråka (NT, §4), ullticka (NT), blomkålssvamp (S), blåsfliksmossa (S), grön sköldmossa (S, §8), grönpyrola (S), kamjordstjärna (S), mindre märgborre (S), platt fjädermossa (S), rävticka (S), stubbspretmossa (S), tjockfotad fingersvamp (S), västlig hakmossa (S), vågbandad barkbock (S), tjäder (§4), vanlig groda (§6),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1602"/>
            <wp:docPr id="1" name="Picture 1"/>
            <wp:cNvGraphicFramePr>
              <a:graphicFrameLocks noChangeAspect="1"/>
            </wp:cNvGraphicFramePr>
            <a:graphic>
              <a:graphicData uri="http://schemas.openxmlformats.org/drawingml/2006/picture">
                <pic:pic>
                  <pic:nvPicPr>
                    <pic:cNvPr id="0" name="A 60204-2023 karta.png"/>
                    <pic:cNvPicPr/>
                  </pic:nvPicPr>
                  <pic:blipFill>
                    <a:blip r:embed="rId16"/>
                    <a:stretch>
                      <a:fillRect/>
                    </a:stretch>
                  </pic:blipFill>
                  <pic:spPr>
                    <a:xfrm>
                      <a:off x="0" y="0"/>
                      <a:ext cx="5486400" cy="2791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6560705, E 687183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Blåsfliksmossa </w:t>
      </w:r>
      <w:r>
        <w:t>växer i skuggiga och fuktiga miljöer på klippor och stenar av såväl grönsten som silikat, till exempel intill naturliga skogsbäckar, i raviner och bergbranter. Den signalerar höga naturvärden främst i östra och norra Sverige och indikerar miljöer med jämn och hög luftfuktighet och ett basiskt underlag. Artens lokaler har ofta hög artrikedom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Tjockfotad fingersvamp </w:t>
      </w:r>
      <w:r>
        <w:t>bildar mykorrhiza med bok och ek på kalkrik mark i huvudsakligen äldre skog men även med gran i örtrik äldre barrskog. Slutavverkning, gödsling eller exploatering måste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havsörn (NT, §4), spillkråka (NT, §4), grön sköldmossa (S, §8), tjäder (§4), vanlig groda (§6),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22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