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2722-2022 i Haninge kommun</w:t>
      </w:r>
    </w:p>
    <w:p>
      <w:r>
        <w:t>Detta dokument behandlar höga naturvärden i avverkningsanmälan A 2722-2022 i Haninge kommun. Denna avverkningsanmälan inkom 2022-01-19 00:00:00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 sköldmossa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7102"/>
            <wp:docPr id="1" name="Picture 1"/>
            <wp:cNvGraphicFramePr>
              <a:graphicFrameLocks noChangeAspect="1"/>
            </wp:cNvGraphicFramePr>
            <a:graphic>
              <a:graphicData uri="http://schemas.openxmlformats.org/drawingml/2006/picture">
                <pic:pic>
                  <pic:nvPicPr>
                    <pic:cNvPr id="0" name="A 2722-2022 karta.png"/>
                    <pic:cNvPicPr/>
                  </pic:nvPicPr>
                  <pic:blipFill>
                    <a:blip r:embed="rId16"/>
                    <a:stretch>
                      <a:fillRect/>
                    </a:stretch>
                  </pic:blipFill>
                  <pic:spPr>
                    <a:xfrm>
                      <a:off x="0" y="0"/>
                      <a:ext cx="5486400" cy="41071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6555953, E 689500 i SWEREF 99 TM.</w:t>
      </w:r>
    </w:p>
    <w:p>
      <w:pPr>
        <w:pStyle w:val="Heading1"/>
      </w:pPr>
      <w:r>
        <w:t>Fridlysta arter</w:t>
      </w:r>
    </w:p>
    <w:p>
      <w:r>
        <w:t>Följande fridlysta arter har sina livsmiljöer och växtplatser i den avverkningsanmälda skogen: grön sköldmossa (S, §8).</w:t>
      </w:r>
    </w:p>
    <w:p>
      <w:r>
        <w:rPr>
          <w:b/>
        </w:rPr>
        <w:t>Grön sköldmossa (§8)</w:t>
      </w:r>
      <w:r>
        <w:t xml:space="preserve"> omfattas av EU:s art- och habitatdirektiv bilaga 2 vilket innebär att det finns ett uttalat intresse inom Europeiska unionen att bevara arten.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 Grön sköldmossa är en ansvarsart för Sverige då en särskilt stor andel av Europas population finns i landet. Mark- och miljööverdomstolen (MÖD) har i mål nr M 2019-20 (18 februari 2019) slagit fast att grön sköldmossa (§8) är dispenspliktig och att exemplar av arten inte får skadas utan dispens (MÖD, mål nr M 2019-20).</w:t>
      </w:r>
    </w:p>
    <w:p>
      <w:r>
        <w:t>I BILAGA 1 finns mer detaljerad information om ekologi samt krav på livsmiljö hos fridlysta arter.</w:t>
      </w:r>
    </w:p>
    <w:p>
      <w:r>
        <w:br w:type="page"/>
      </w:r>
    </w:p>
    <w:p>
      <w:pPr>
        <w:pStyle w:val="Title"/>
      </w:pPr>
      <w:r>
        <w:t>BILAGA 1 – Fridlysta arter</w:t>
      </w:r>
    </w:p>
    <w:p>
      <w:pPr>
        <w:pStyle w:val="Heading1"/>
      </w:pPr>
      <w:r>
        <w:t>Grön sköldmossa – ekologi samt krav på livsmiljön</w:t>
      </w:r>
    </w:p>
    <w:p>
      <w:r>
        <w:t>Grön sköldmossa, fridlyst enligt 8§ artskyddsförordningen, växer på stubbar och lågor av olika trädslag, huvudsakligen i sena nedbrytningsstadier och på och mellan grova rötter av levande och döda träd. Den förekommer i Sverige främst i näringsrika granskogar med stort inslag av löv, arten är kortlivad och antalet kapslar varierar kraftigt mellan olika år (SLU Artdatabanken, 2021). Grön sköldmossa kräver skog som har ett speciellt mikroklimat med hög och jämn luftfuktighet i kombination med rik tillgång på död ved (Nitare, 2019). I praktiken handlar det om åtminstone 50 meter med skyddande skog för att undvika uttorkning av marken (Hallingbäck, personligt meddelande 2022-02-24).</w:t>
      </w:r>
    </w:p>
    <w:p>
      <w:r>
        <w:t>Arten har sin huvudutbredning i sydöstra Sverige (SLU Artdatabanken, 2021). Allvarligaste hoten mot arten är skogsavverkning och brist på död ved. Brist på naturligt döda träd i dagens produktionsskogar gör att arten blir allt sällsyntare (Hallingbäck, 2016). Död ved i större mängd bör lämnas och träd tillåtas åldras och dö för att skapa kontinuerlig tillgång på livsmiljöer. Träd och livsmiljö bör skyddas genom att lämna trädgrupper, ytor eller zoner (SLU Artdatabanken, 2021).</w:t>
      </w:r>
    </w:p>
    <w:p>
      <w:r>
        <w:t>Grön sköldmossa är upptagen i EU:s Habitatdirektiv bilaga 2 vilket innebär att det  finns ett uttalat intresse inom Europeiska unionen att bevara arten. Grön sköldmossa är en ansvarsart för Sverige då en särskilt stor andel av Europas population finns i landet. Förutom i östra Sverige har arten inga större sammanhängande utbredningar med gynnsam bevarandestatus söderut i Europa förrän i Montenegro. Det finns enbart liten förekomst med gynnsam regional bevarandestatus i södra Frankrike och södra Polen. Grön sköldmossa är typisk art för 9010 Taiga och 9750 Svämlövskog (Natura 2000) och omfattas även av Bernkonventionen bilaga 1.</w:t>
      </w:r>
    </w:p>
    <w:p>
      <w:r>
        <w:t>Fridlysningen enligt §§ 8 och 15 Artskyddsförordningen innebär att det är förbjudet att på något sätt skada exemplar av arten. Artskyddsförordning (2007:845):</w:t>
      </w:r>
    </w:p>
    <w:p>
      <w:pPr>
        <w:pStyle w:val="ListBullet"/>
      </w:pPr>
      <w:r>
        <w:t>8 § I fråga om sådana vilt levande kärlväxter, mossor, lavar, svampar och alger som anges i bilaga 2 till denna förordning är det förbjudet att i den omfattning som framgår av bilagan 1. plocka, gräva upp eller på annat sätt ta bort eller skada exemplar av växterna, och 2. ta bort eller skada frön eller andra delar.</w:t>
      </w:r>
    </w:p>
    <w:p>
      <w:pPr>
        <w:pStyle w:val="ListBullet"/>
      </w:pPr>
      <w:r>
        <w:t>15 § Länsstyrelsen får i det enskilda fallet ge dispens från förbuden i 6, 8 och 9 §§ som avser länet eller del av länet, om det inte finns någon annan lämplig lösning och dispensen inte försvårar upprätthållandet av en gynnsam bevarandestatus hos artens bestånd i dess naturliga utbredningsområde.</w:t>
      </w:r>
    </w:p>
    <w:p>
      <w:r>
        <w:t>Grön sköldmossa är även listad som B i Artskyddsförordningen vilket innebär att den är en art av unionsintresse:</w:t>
      </w:r>
    </w:p>
    <w:p>
      <w:pPr>
        <w:pStyle w:val="ListBullet"/>
      </w:pPr>
      <w:r>
        <w:t>B: Arten har enligt fågeldirektivet eller art- och habitatdirektivet ett sådant unionsintresse att särskilda skyddsområden (fågeldirektivet) eller bevarandeområden (art- och habitatdirektivet) behöver utses. Arten finns upptagen i bilaga 1 till fågeldirektivet eller bilaga 2 till art- och habitatdirektivet.</w:t>
      </w:r>
    </w:p>
    <w:p>
      <w:r>
        <w:t>Mark- och miljööverdomstolen (MÖD) har i mål nr M 2019-20 (18 februari 2019) slagit fast att grön sköldmossa (§8) är dispenspliktig och att exemplar av arten inte får skadas utan dispens (MÖD, mål nr M 2019-20).</w:t>
      </w:r>
    </w:p>
    <w:p>
      <w:pPr>
        <w:pStyle w:val="Heading2"/>
      </w:pPr>
      <w:r>
        <w:t>Referenser – grön sköldmossa</w:t>
      </w:r>
    </w:p>
    <w:p>
      <w:r>
        <w:t xml:space="preserve">Hallingbäck T., 2016. </w:t>
      </w:r>
      <w:r>
        <w:rPr>
          <w:i/>
        </w:rPr>
        <w:t xml:space="preserve">Mossor en fältguide. </w:t>
      </w:r>
      <w:r>
        <w:t>Naturcentrum.</w:t>
      </w:r>
    </w:p>
    <w:p>
      <w:r>
        <w:t xml:space="preserve">Hallingbäck T., 2022. </w:t>
      </w:r>
      <w:r>
        <w:rPr>
          <w:i/>
        </w:rPr>
        <w:t xml:space="preserve">Personligt meddelande 2022-02-24. </w:t>
      </w:r>
      <w:r>
        <w:t>SLU Artdatabanken. Se nedan.</w:t>
      </w:r>
    </w:p>
    <w:p>
      <w:r>
        <w:t xml:space="preserve">Mark- och miljööverdomstolen. </w:t>
      </w:r>
      <w:r>
        <w:rPr>
          <w:i/>
        </w:rPr>
        <w:t xml:space="preserve">Dom 18 februari 2019 i mål nr M 2019-20 </w:t>
      </w:r>
      <w:r>
        <w:t>(MÖD, mål nr M 2019-20)</w:t>
      </w:r>
    </w:p>
    <w:p>
      <w:r>
        <w:t xml:space="preserve">Nitare, J., 2019. </w:t>
      </w:r>
      <w:r>
        <w:rPr>
          <w:i/>
        </w:rPr>
        <w:t xml:space="preserve">Skyddsvärd skog – Naturvårdsarter och andra kriterier för naturvärdesbedömning. </w:t>
      </w:r>
      <w:r>
        <w:t>Skogsstyrelsen.</w:t>
      </w:r>
    </w:p>
    <w:p>
      <w:r>
        <w:t xml:space="preserve">SLU Artdatabanken, 2021. </w:t>
      </w:r>
      <w:r>
        <w:rPr>
          <w:i/>
        </w:rPr>
        <w:t xml:space="preserve">Artfaktablad. Naturvård – artfakta. </w:t>
      </w:r>
      <w:r>
        <w:t>SLU Artdatabanken, Uppsala</w:t>
      </w:r>
    </w:p>
    <w:p>
      <w:r>
        <w:t>Hallingbäck, personligt meddelande 2022-02-24</w:t>
      </w:r>
    </w:p>
    <w:p>
      <w:pPr>
        <w:jc w:val="left"/>
      </w:pPr>
      <w:r>
        <w:t>Från: Tomas Hallingbäck &lt;Tomas.Hallingback@slu.se&gt;</w:t>
        <w:br/>
        <w:t>Date: tors 24 feb. 2022 kl 17:49</w:t>
        <w:br/>
        <w:t>Subject: Re: Grön sköldmossa</w:t>
        <w:br/>
        <w:t>To: Magnus Kasselstrand &lt;magnus.kasselstrand@gmail.com&gt;</w:t>
      </w:r>
    </w:p>
    <w:p>
      <w:r>
        <w:t>Hej Magnus,</w:t>
      </w:r>
    </w:p>
    <w:p>
      <w:r>
        <w:t>Tyvärr finns inga studier på just detta, men uttorkning av underlaget är en starkt negativ faktor för grön sköldmossa, och jag brukar hänvisa till lokalklimatiska studier som visar att skyddskappan för att förhindra uttorkning av marken ligger på minst tre trädlängder skog (för plan mark), kortare för kuperad terräng, och detta blir i praktiken åtminstone 50 meter.</w:t>
      </w:r>
    </w:p>
    <w:p>
      <w:r>
        <w:t>MVH</w:t>
        <w:br/>
        <w:t>Tomas Hallingbäck</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