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34823-2022 i Haninge kommun</w:t>
      </w:r>
    </w:p>
    <w:p>
      <w:r>
        <w:t>Detta dokument behandlar höga naturvärden i avverkningsanmälan A 34823-2022 i Haninge kommun. Denna avverkningsanmälan inkom 2022-08-23 00:00:00 och omfattar 12,0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mörk kraterlav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1816"/>
            <wp:docPr id="1" name="Picture 1"/>
            <wp:cNvGraphicFramePr>
              <a:graphicFrameLocks noChangeAspect="1"/>
            </wp:cNvGraphicFramePr>
            <a:graphic>
              <a:graphicData uri="http://schemas.openxmlformats.org/drawingml/2006/picture">
                <pic:pic>
                  <pic:nvPicPr>
                    <pic:cNvPr id="0" name="A 34823-2022 karta.png"/>
                    <pic:cNvPicPr/>
                  </pic:nvPicPr>
                  <pic:blipFill>
                    <a:blip r:embed="rId16"/>
                    <a:stretch>
                      <a:fillRect/>
                    </a:stretch>
                  </pic:blipFill>
                  <pic:spPr>
                    <a:xfrm>
                      <a:off x="0" y="0"/>
                      <a:ext cx="5486400" cy="36918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6556455, E 684030 i SWEREF 99 TM.</w:t>
      </w:r>
    </w:p>
    <w:p>
      <w:r>
        <w:rPr>
          <w:b/>
        </w:rPr>
        <w:t>Mörk kraterlav (VU)</w:t>
      </w:r>
      <w:r>
        <w:t xml:space="preserve"> växer på grov bark av ädellövträd som bok, alm, ask, lönn och ek. Miljöerna varierar från slutna bokskogar och andra ädellövskogar till öppna lövängar, alléer och parkmiljöer. Arten påträffas ofta vid basen av träden, men den förekommer inte sällan även en bit upp på stammen. Miljöerna har lång kontinuitet på gamla träd och tillsammans med mörk kraterlav förekommer ofta andra rödlistade lavar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