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66380-2021 i Haninge kommun</w:t>
      </w:r>
    </w:p>
    <w:p>
      <w:r>
        <w:t>Detta dokument behandlar höga naturvärden i avverkningsanmälan A 66380-2021 i Haninge kommun. Denna avverkningsanmälan inkom 2021-11-18 00:00:00 och omfattar 10,3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42 naturvårdsarter hittats: skogsalm (CR), ryl (EN), knärot (VU, §8), liten hornflikmossa (VU), desmeknopp (NT), grönhjon (NT), luddfingersvamp (NT), motaggsvamp (NT), spillkråka (NT, §4), tallticka (NT), ullticka (NT), vaddporing (NT), vedskivlav (NT), björksplintborre (S), blek stjärnmossa (S), blåmossa (S), bronshjon (S), dvärghäxört (S), fjällig taggsvamp s.str. (S), fällmossa (S), granbarkgnagare (S), grovticka (S), grön sköldmossa (S, §8), guldlockmossa (S), jättesvampmal (S), kornknutmossa (S), mindre märgborre (S), platt fjädermossa (S), rödfläckig zontaggsvamp (S), scharlakansvårskål agg. (S), skarp dropptaggsvamp (S), stubbspretmossa (S), svavelriska (S), sårläka (S), thomsons trägnagare (S), trådticka (S), vedticka (S), vågbandad barkbock (S), gröngöling (§4), vanlig groda (§6),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66380-2021 karta.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6553845, E 693436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Desmeknopp (NT)</w:t>
      </w:r>
      <w:r>
        <w:t xml:space="preserve"> förekommer främst i södra delarna av landet, enstaka spridda förekomster finns till åtminstone Medelpad. Växer i skilda miljöer, företrädesvis i lövskog där marken är fuktig, skuggig, närings- och mullrik. Arten har minskat kraftigt under senare år, framför allt på grund av skogsavverkningar och dräneringar. Minskningstakten har uppgått till 25 (15–35) % under de senaste 30 åren och bedöms vara nära gränsvärdet för Sårbar (VU). (A2bc+4abc). Skogsavverkning på lokaler med förekomst av desmeknopp missgynnar eller utplånar arten (SLU Artdatabanken, 2024; Nitare &amp; Skogsstyrelsen, 2019).</w:t>
      </w:r>
    </w:p>
    <w:p>
      <w:r>
        <w:rPr>
          <w:b/>
        </w:rPr>
        <w:t xml:space="preserve">Dvärghäxört </w:t>
      </w:r>
      <w:r>
        <w:t>är en bra signalart som indikerar skogar med rörligt markvatten, långvarig beskuggning, hög luftfuktighet och näringsrik mark. Arten är mycket känslig för skogsbruksåtgärder och många växtplatser har i sen tid utplånats genom slutavverkning eller dikning. I södra Sverige på lokaler med riklig förekomst av häxörter kan den rödlistade fjärilen häxörtsbrokmal (NT) eftersökas. Larven lever i en vitaktig fläckmina i blad på häxört. Minan är lätt att hitta och den bästa metoden att fastställa förekomst av häxörtsbrokmal är således att söka efter minorna (SLU Artdatabanken, 2024; Nitare &amp; Skogsstyrelsen, 2019).</w:t>
      </w:r>
    </w:p>
    <w:p>
      <w:r>
        <w:rPr>
          <w:b/>
        </w:rPr>
        <w:t>Fällmossa</w:t>
      </w:r>
      <w:r>
        <w:t xml:space="preserve"> indikerar i stort sett alltid områden med höga naturvärden, skog med lång kontinuitet, gamla träd, hög luftfuktighet och stabila förhållanden. Sporkapslar finnar man enbart på extra skyddsvärda lokaler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Liten hornflikmossa (VU)</w:t>
      </w:r>
      <w:r>
        <w:t xml:space="preserve"> växer på grova murkna lågor i sluten och urskogsartad granskog med hög och jämn luftfuktighet. Arten är placerad högst upp i Skogsstyrelsens värdepyramid för bedömning av skog med höga naturvärden och samtliga kända lokaler med liten hornflikmossa bör ges ett ändamålsenligt skydd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Ryl (EN)</w:t>
      </w:r>
      <w:r>
        <w:t xml:space="preserve"> är en starkt hotad kärlväxt som påträffas i gamla ljusöppna barrskogar, främst tallskogar på väldränerade och kalkrika jordar med tunna humuslager. Lokaler för arten bör undantas från kalavverkning, markberedning och skogsgödsling. På lokaler med riklig förekomst av ryl kan den sällsynta bladparasiten </w:t>
      </w:r>
      <w:r>
        <w:rPr>
          <w:i/>
        </w:rPr>
        <w:t xml:space="preserve">Mycosphaerella chimaphilae </w:t>
      </w:r>
      <w:r>
        <w:t>(EN)</w:t>
      </w:r>
      <w:r>
        <w:rPr>
          <w:i/>
        </w:rPr>
        <w:t xml:space="preserve"> </w:t>
      </w:r>
      <w:r>
        <w:t>påträffas. Parasiten bildar små svarta prickar på rylens blad (SLU Artdatabanken, 2024;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grön sköldmossa (S, §8), gröngöling (§4), vanlig groda (§6),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3.25 ha med buffertzonerna och får av detta skäl inte avverkas.</w:t>
      </w:r>
    </w:p>
    <w:p>
      <w:pPr>
        <w:pStyle w:val="Caption"/>
      </w:pPr>
      <w:r>
        <w:drawing>
          <wp:inline xmlns:a="http://schemas.openxmlformats.org/drawingml/2006/main" xmlns:pic="http://schemas.openxmlformats.org/drawingml/2006/picture">
            <wp:extent cx="5486400" cy="5867680"/>
            <wp:docPr id="2" name="Picture 2"/>
            <wp:cNvGraphicFramePr>
              <a:graphicFrameLocks noChangeAspect="1"/>
            </wp:cNvGraphicFramePr>
            <a:graphic>
              <a:graphicData uri="http://schemas.openxmlformats.org/drawingml/2006/picture">
                <pic:pic>
                  <pic:nvPicPr>
                    <pic:cNvPr id="0" name="A 66380-2021 karta knärot.png"/>
                    <pic:cNvPicPr/>
                  </pic:nvPicPr>
                  <pic:blipFill>
                    <a:blip r:embed="rId17"/>
                    <a:stretch>
                      <a:fillRect/>
                    </a:stretch>
                  </pic:blipFill>
                  <pic:spPr>
                    <a:xfrm>
                      <a:off x="0" y="0"/>
                      <a:ext cx="5486400" cy="586768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6553845, E 693436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