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486156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48615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59 naturvårdsarter, varav 25 är rödlistade, 22 är fridlysta, 33 är typiska (T) och 21 är signalarter (S): garnlav (VU, T), goliatmusseron (VU, T), gränsticka (VU, T), gul taggsvamp (VU, T), knärot (VU, T, §8), ringlav (VU), rotfingersvamp (VU), brunlångöra (NT, §4a), dropptaggsvamp (NT, T), fjällig taggsvamp s.str. (NT), fyrflikig jordstjärna (NT, T), mindre hackspett (NT, T, §4), motaggsvamp (NT, T), nordfladdermus (NT, §4a), reliktbock (NT, T), skarp dropptaggsvamp (NT), talltagel (NT, T), tallticka (NT, T), talltita (NT, §4), tjockfotad fingersvamp (NT), ullticka (NT, 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tofsmes (T, §4), dvärgpipistrell (§4a), större brunfladdermus (§4a), vattenfladdermus (§4a),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dropptaggsvamp (NT, T), fyrflikig jordstjärna (NT, T), mindre hackspett (NT, T, §4), motaggsvamp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spindelblomster (S, T, §8), stubbspretmossa (S, T), trådticka (S, T), vedticka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