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klagomål behandlar höga naturvärden i avverkningsanmälan A 59566-2025 i Haninge kommun som inkom 2025-11-30 och omfattar 1,7 ha.</w:t>
      </w:r>
    </w:p>
    <w:p>
      <w:pPr>
        <w:pStyle w:val="Caption"/>
      </w:pPr>
      <w:r>
        <w:drawing>
          <wp:inline xmlns:a="http://schemas.openxmlformats.org/drawingml/2006/main" xmlns:pic="http://schemas.openxmlformats.org/drawingml/2006/picture">
            <wp:extent cx="5486400" cy="4436072"/>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436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6562376, E 685079 i SWEREF 99 TM.</w:t>
      </w:r>
    </w:p>
    <w:p>
      <w:r>
        <w:t>I och inom 25 meter från avverkningsanmälan finns fynd av 18 naturvårdsarter, varav 6 är rödlistade, 6 är fridlysta, 13 är typiska (T) och 6 är signalarter (S): rotfingersvamp (VU), dropptaggsvamp (NT, T), motaggsvamp (NT, T), tallkötticka (NT), talltita (NT, §4), ullticka (NT, T), blåmossa (S, T), grön sköldmossa (S, T, §8), grönpyrola (S, T), kornknutmossa (S, T), mindre märgborre (S, T), vedticka (S, T), ekbräken (T), hultbräken (T), spillkråka (T, §4), tofsmes (T, §4), kopparödla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