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606253"/>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6062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63 naturvårdsarter, varav 25 är rödlistade, 23 är fridlysta, 35 är typiska (T) och 21 är signalarter (S): garnlav (VU, T), goliatmusseron (VU, T), gränsticka (VU, T), jättemusseron (VU), knärot (VU, T, §8), lakritsmusseron (VU, T), rotfingersvamp (VU), apelsinticka (NT), blå taggsvamp (NT, T), brunlångöra (NT, §4a), dropptaggsvamp (NT, T), fyrflikig jordstjärna (NT, T), gelatinfingersvamp (NT), lunglav (NT, T), motaggsvamp (NT, T), nordfladdermus (NT, §4a), orange taggsvamp (NT, T), skarp dropptaggsvamp (NT), svartvit taggsvamp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vedskivlav (NT, T), vedtrappmossa (NT, T), blåmossa (S, T), bronshjon (S, T), flagellkvastmossa (S, T), fällmossa (S, T), grovticka (S, T), grön sköldmossa (S, T, §8), grönpyrola (S, T), mindre märgborre (S, T), nästlav (S, T), plattlummer (S, T, §9), spindelblomster (S, T, §8), stubbspretmossa (S, T), trådticka (S, T), vedticka (S, T), krushättemossa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