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66380-2021 i Haninge kommun</w:t>
      </w:r>
    </w:p>
    <w:p>
      <w:r>
        <w:t>Detta klagomål behandlar höga naturvärden i avverkningsanmälan A 66380-2021 i Haninge kommun som inkom 2021-11-18 och omfattar 10,3 ha.</w:t>
      </w:r>
    </w:p>
    <w:p>
      <w:pPr>
        <w:pStyle w:val="Caption"/>
      </w:pPr>
      <w:r>
        <w:drawing>
          <wp:inline xmlns:a="http://schemas.openxmlformats.org/drawingml/2006/main" xmlns:pic="http://schemas.openxmlformats.org/drawingml/2006/picture">
            <wp:extent cx="5486400" cy="3803264"/>
            <wp:docPr id="1" name="Picture 1"/>
            <wp:cNvGraphicFramePr>
              <a:graphicFrameLocks noChangeAspect="1"/>
            </wp:cNvGraphicFramePr>
            <a:graphic>
              <a:graphicData uri="http://schemas.openxmlformats.org/drawingml/2006/picture">
                <pic:pic>
                  <pic:nvPicPr>
                    <pic:cNvPr id="0" name="A 66380-2021 karta.png"/>
                    <pic:cNvPicPr/>
                  </pic:nvPicPr>
                  <pic:blipFill>
                    <a:blip r:embed="rId16"/>
                    <a:stretch>
                      <a:fillRect/>
                    </a:stretch>
                  </pic:blipFill>
                  <pic:spPr>
                    <a:xfrm>
                      <a:off x="0" y="0"/>
                      <a:ext cx="5486400" cy="380326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6553845, E 693436 i SWEREF 99 TM.</w:t>
      </w:r>
    </w:p>
    <w:p>
      <w:r>
        <w:t>I och inom 24 meter från avverkningsanmälan finns fynd av 71 naturvårdsarter, varav 31 är rödlistade, 27 är fridlysta, 30 är typiska (T) och 24 är signalarter (S): skogsalm (EN), grönfink (VU, §4), knärot (VU, T, §8), liten hornflikmossa (VU), ryl (VU, T), björktrast (NT, §4), brunlångöra (NT, §4a), desmeknopp (NT), duvhök (NT, §4), entita (NT, T, §4), fjällig taggsvamp s.str. (NT), grönhjon (NT), luddfingersvamp (NT), mindre hackspett (NT, T, §4), motaggsvamp (NT, T), nordfladdermus (NT, §4a), reliktbock (NT, T), rödfläckig zontaggsvamp (NT), rödvingetrast (NT, §4), skarp dropptaggsvamp (NT), skrattmås (NT, §4), sotvaxskivling (NT), strandskata (NT, §4), sårläka (NT, T), tallticka (NT, T), talltita (NT, §4), ullticka (NT, T), vaddporing (NT), vedskivlav (NT, T), älg (NT), Porodaedalea chrysoloma (DD), björksplintborre (S), blek stjärnmossa (S, T), blåmossa (S, T), bronshjon (S, T), diskvaxskivling (S), dvärghäxört (S, T), fällmossa (S, T), granbarkgnagare (S, T), grovticka (S, T), grön sköldmossa (S, T, §8), guldlockmossa (S, T), jättesvampmal (S), kornknutmossa (S, T), mindre märgborre (S, T), platt fjädermossa (S, T), scharlakansvårskål agg. (S), smal svampklubba (S), stubbspretmossa (S, T), svavelriska (S), thomsons trägnagare (S), trådticka (S, T), vedticka (S, T), västlig hakmossa (S), vågbandad barkbock (S), blåsippa (T, §9), krushättemossa (T), linnea (T), spillkråka (T, §4), tofsmes (T, §4), dvärgpipistrell (§4a), gröngöling (§4), grönsiska (§4), havsörn (§4), kråka (§4), kungsfågel (§4), sångsvan (§4), vattenfladdermus (§4a), vanlig groda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5867484"/>
            <wp:docPr id="2" name="Picture 2"/>
            <wp:cNvGraphicFramePr>
              <a:graphicFrameLocks noChangeAspect="1"/>
            </wp:cNvGraphicFramePr>
            <a:graphic>
              <a:graphicData uri="http://schemas.openxmlformats.org/drawingml/2006/picture">
                <pic:pic>
                  <pic:nvPicPr>
                    <pic:cNvPr id="0" name="A 66380-2021 karta knärot.png"/>
                    <pic:cNvPicPr/>
                  </pic:nvPicPr>
                  <pic:blipFill>
                    <a:blip r:embed="rId17"/>
                    <a:stretch>
                      <a:fillRect/>
                    </a:stretch>
                  </pic:blipFill>
                  <pic:spPr>
                    <a:xfrm>
                      <a:off x="0" y="0"/>
                      <a:ext cx="5486400" cy="58674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6553845, E 693436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71 naturvårdsarter varav 31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