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17454-2026 i Haninge kommun</w:t>
      </w:r>
    </w:p>
    <w:p>
      <w:r>
        <w:t>Denna tillsynsbegäran behandlar höga naturvärden i avverkningsanmälan A 17454-2026 i Haninge kommun som inkom 2026-04-08 och omfattar 31,4 ha.</w:t>
      </w:r>
    </w:p>
    <w:p>
      <w:pPr>
        <w:pStyle w:val="Caption"/>
      </w:pPr>
      <w:r>
        <w:drawing>
          <wp:inline xmlns:a="http://schemas.openxmlformats.org/drawingml/2006/main" xmlns:pic="http://schemas.openxmlformats.org/drawingml/2006/picture">
            <wp:extent cx="5486400" cy="3702849"/>
            <wp:docPr id="1" name="Picture 1"/>
            <wp:cNvGraphicFramePr>
              <a:graphicFrameLocks noChangeAspect="1"/>
            </wp:cNvGraphicFramePr>
            <a:graphic>
              <a:graphicData uri="http://schemas.openxmlformats.org/drawingml/2006/picture">
                <pic:pic>
                  <pic:nvPicPr>
                    <pic:cNvPr id="0" name="A 17454-2026 karta.png"/>
                    <pic:cNvPicPr/>
                  </pic:nvPicPr>
                  <pic:blipFill>
                    <a:blip r:embed="rId16"/>
                    <a:stretch>
                      <a:fillRect/>
                    </a:stretch>
                  </pic:blipFill>
                  <pic:spPr>
                    <a:xfrm>
                      <a:off x="0" y="0"/>
                      <a:ext cx="5486400" cy="37028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6555594, E 683883 i SWEREF 99 TM.</w:t>
      </w:r>
    </w:p>
    <w:p>
      <w:r>
        <w:t>I avverkningsanmälan finns fynd av 19 naturvårdsarter, varav 3 är rödlistade, 5 är fridlysta, 15 är typiska (T) och 11 är signalarter (S): knärot (VU, T, §8), motaggsvamp (NT, T), ullticka (NT, T), barkticka (S, T), björksplintborre (S), blåmossa (S, T), blåsfliksmossa (S, T), granbarkgnagare (S, T), grön sköldmossa (S, T, §8), grönpyrola (S, T), guldlockmossa (S, T), mindre märgborre (S, T), thomsons trägnagare (S), västlig hakmossa (S), blåsippa (T, §9), glansfläck (T), skriftlav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1745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6555594, E 683883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Blåsfliksmossa </w:t>
      </w:r>
      <w:r>
        <w:t xml:space="preserve">växer i skuggiga och fuktiga miljöer på klippor och stenar av såväl grönsten som silikat, till exempel intill naturliga skogsbäckar, i raviner och bergbranter. Den signalerar höga naturvärden främst i östra och norra Sverige och indikerar miljöer med jämn och hög luftfuktighet och ett basiskt underlag. Artens lokaler har ofta hög artrikedom. Blåsfliksmossa är typisk art för </w:t>
      </w:r>
      <w:r>
        <w:rPr>
          <w:i/>
        </w:rPr>
        <w:t>9080 Lövsumpskog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Glansfläck</w:t>
      </w:r>
      <w:r>
        <w:t xml:space="preserve"> signalerar skyddsvärda lövträdsbestånd som ofta hyser ett flertal rödlistade lavar. Många växtplatser har långvarig trädkontinuitet. Laven indikerar främst miljöer med konstant hög och jämn luftfuktighet och ostörda markvattenförhållanden. Glansfläck är typisk art för </w:t>
      </w:r>
      <w:r>
        <w:rPr>
          <w:i/>
        </w:rPr>
        <w:t>9190 Näringsfattig ekskog</w:t>
      </w:r>
      <w:r>
        <w:t xml:space="preserve"> (Nitare &amp; Skogsstyrelsen, 2000; SLU Artdatabanken, 2025).</w:t>
      </w:r>
    </w:p>
    <w:p>
      <w:r>
        <w:rPr>
          <w:b/>
        </w:rPr>
        <w:t>Skriftlav</w:t>
      </w:r>
      <w:r>
        <w:t xml:space="preserve"> är typisk art för </w:t>
      </w:r>
      <w:r>
        <w:rPr>
          <w:i/>
        </w:rPr>
        <w:t xml:space="preserve">9190 Näringsfattig ekskog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ullticka (NT, T), barkticka (S, T), blåmossa (S, T), blåsfliksmossa (S, T), granbarkgnagare (S, T), grön sköldmossa (S, T, §8), grönpyrola (S, T), guldlockmossa (S, T), mindre märgborre (S, T), blåsippa (T, §9), glansfläck (T), skriftlav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