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3151-2025 i Haninge kommun</w:t>
      </w:r>
    </w:p>
    <w:p>
      <w:r>
        <w:t>Denna tillsynsbegäran behandlar höga naturvärden i avverkningsanmälan A 3151-2025 i Haninge kommun som inkom 2025-01-22 och omfattar 19,8 ha.</w:t>
      </w:r>
    </w:p>
    <w:p>
      <w:pPr>
        <w:pStyle w:val="Caption"/>
      </w:pPr>
      <w:r>
        <w:drawing>
          <wp:inline xmlns:a="http://schemas.openxmlformats.org/drawingml/2006/main" xmlns:pic="http://schemas.openxmlformats.org/drawingml/2006/picture">
            <wp:extent cx="5300871" cy="5724000"/>
            <wp:docPr id="1" name="Picture 1"/>
            <wp:cNvGraphicFramePr>
              <a:graphicFrameLocks noChangeAspect="1"/>
            </wp:cNvGraphicFramePr>
            <a:graphic>
              <a:graphicData uri="http://schemas.openxmlformats.org/drawingml/2006/picture">
                <pic:pic>
                  <pic:nvPicPr>
                    <pic:cNvPr id="0" name="A 3151-2025 karta.png"/>
                    <pic:cNvPicPr/>
                  </pic:nvPicPr>
                  <pic:blipFill>
                    <a:blip r:embed="rId16"/>
                    <a:stretch>
                      <a:fillRect/>
                    </a:stretch>
                  </pic:blipFill>
                  <pic:spPr>
                    <a:xfrm>
                      <a:off x="0" y="0"/>
                      <a:ext cx="530087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6563057, E 686775 i SWEREF 99 TM.</w:t>
      </w:r>
    </w:p>
    <w:p>
      <w:r>
        <w:t>I och inom 25 meter från avverkningsanmälan finns fynd av 60 naturvårdsarter, varav 25 är rödlistade, 22 är fridlysta, 34 är typiska (T) och 21 är signalarter (S): garnlav (VU, T), goliatmusseron (VU, T), gränsticka (VU, T), gul taggsvamp (VU, T), knärot (VU, T, §8), ringlav (VU), rotfingersvamp (VU), brunlångöra (NT, §4a), dropptaggsvamp (NT, T), fjällig taggsvamp s.str. (NT), fyrflikig jordstjärna (NT, T), mindre hackspett (NT, T, §4), motaggsvamp (NT, T), nordfladdermus (NT, §4a), reliktbock (NT, T), skarp dropptaggsvamp (NT), talltagel (NT, T), tallticka (NT, T), talltita (NT, §4), tjockfotad fingersvamp (NT), ullticka (NT, T), vedskivlav (NT, T), vedtrappmossa (NT, T), vintertagging (NT), vågticka (NT), björksplintborre (S), blomkålssvamp (S), blåmossa (S, T), brandticka (S), bronshjon (S, T), granbarkgnagare (S, T), grovticka (S, T), grön sköldmossa (S, T, §8), grönpyrola (S, T), jättesvampmal (S), korallrot (S, T, §8), mindre märgborre (S, T), nästlav (S, T), plattlummer (S, T, §9), spindelblomster (S, T, §8), stubbspretmossa (S, T), thomsons trägnagare (S), trådticka (S, T), vedticka (S, T), västlig hakmossa (S), vågbandad barkbock (S), hultbräken (T), mattlummer (T, §9), spillkråka (T, §4), tjäder (T, §4), tofsmes (T, §4), dvärgpipistrell (§4a), större brunfladdermus (§4a), vattenfladdermus (§4a), åkergroda (§4a), vanlig groda (§6), vanlig padda (§6), vanlig snok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3.61 ha med buffertzonerna och får av detta skäl inte avverkas.</w:t>
      </w:r>
    </w:p>
    <w:p>
      <w:pPr>
        <w:pStyle w:val="Caption"/>
      </w:pPr>
      <w:r>
        <w:drawing>
          <wp:inline xmlns:a="http://schemas.openxmlformats.org/drawingml/2006/main" xmlns:pic="http://schemas.openxmlformats.org/drawingml/2006/picture">
            <wp:extent cx="5486400" cy="4521095"/>
            <wp:docPr id="2" name="Picture 2"/>
            <wp:cNvGraphicFramePr>
              <a:graphicFrameLocks noChangeAspect="1"/>
            </wp:cNvGraphicFramePr>
            <a:graphic>
              <a:graphicData uri="http://schemas.openxmlformats.org/drawingml/2006/picture">
                <pic:pic>
                  <pic:nvPicPr>
                    <pic:cNvPr id="0" name="A 3151-2025 karta knärot.png"/>
                    <pic:cNvPicPr/>
                  </pic:nvPicPr>
                  <pic:blipFill>
                    <a:blip r:embed="rId17"/>
                    <a:stretch>
                      <a:fillRect/>
                    </a:stretch>
                  </pic:blipFill>
                  <pic:spPr>
                    <a:xfrm>
                      <a:off x="0" y="0"/>
                      <a:ext cx="5486400" cy="45210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6563057, E 686775 i SWEREF 99 TM.</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Hultbräken </w:t>
      </w:r>
      <w:r>
        <w:t xml:space="preserve">är typisk art för </w:t>
      </w:r>
      <w:r>
        <w:rPr>
          <w:i/>
        </w:rPr>
        <w:t xml:space="preserve">9050 Näringsrik granskog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gränsticka (VU, T), gul taggsvamp (VU, T), knärot (VU, T, §8), dropptaggsvamp (NT, T), fyrflikig jordstjärna (NT, T), mindre hackspett (NT, T, §4), motaggsvamp (NT, T), reliktbock (NT, T), talltagel (NT, T), tallticka (NT, T), ullticka (NT, T), vedskivlav (NT, T), vedtrappmossa (NT, T), blåmossa (S, T), bronshjon (S, T), granbarkgnagare (S, T), grovticka (S, T), grön sköldmossa (S, T, §8), grönpyrola (S, T), korallrot (S, T, §8), mindre märgborre (S, T), nästlav (S, T), plattlummer (S, T, §9), spindelblomster (S, T, §8), stubbspretmossa (S, T), trådticka (S, T), vedticka (S, T), hultbräken (T), mattlummer (T, §9),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