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klagomål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4847729"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484772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58 naturvårdsarter, varav 25 är rödlistade, 22 är fridlysta, 33 är typiska (T) och 20 är signalarter (S): garnlav (VU, T), goliatmusseron (VU, T), gränsticka (VU, T), gul taggsvamp (VU, T), knärot (VU, T, §8), ringlav (VU), rotfingersvamp (VU), brunlångöra (NT, §4a), dropptaggsvamp (NT, T), fjällig taggsvamp s.str. (NT), fyrflikig jordstjärna (NT, T), mindre hackspett (NT, T, §4), motaggsvamp (NT, T), nordfladdermus (NT, §4a), reliktbock (NT, T), skarp dropptaggsvamp (NT), talltagel (NT, T), tallticka (NT, T), talltita (NT, §4), tjockfotad fingersvamp (NT), ullticka (NT, T), vedskivlav (NT, T), vedtrappmossa (NT, T), vintertagging (NT), vågticka (NT), björksplintborre (S), blomkålssvamp (S), blåmossa (S, T),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tofsmes (T, §4), dvärgpipistrell (§4a), större brunfladdermus (§4a), vattenfladdermus (§4a), åkergroda (§4a),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