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3152-2025 i Haninge kommun</w:t>
      </w:r>
    </w:p>
    <w:p>
      <w:r>
        <w:t>Denna tillsynsbegäran behandlar höga naturvärden i avverkningsanmälan A 3152-2025 i Haninge kommun som inkom 2025-01-22 och omfattar 2,2 ha.</w:t>
      </w:r>
    </w:p>
    <w:p>
      <w:pPr>
        <w:pStyle w:val="Caption"/>
      </w:pPr>
      <w:r>
        <w:drawing>
          <wp:inline xmlns:a="http://schemas.openxmlformats.org/drawingml/2006/main" xmlns:pic="http://schemas.openxmlformats.org/drawingml/2006/picture">
            <wp:extent cx="5486400" cy="5501483"/>
            <wp:docPr id="1" name="Picture 1"/>
            <wp:cNvGraphicFramePr>
              <a:graphicFrameLocks noChangeAspect="1"/>
            </wp:cNvGraphicFramePr>
            <a:graphic>
              <a:graphicData uri="http://schemas.openxmlformats.org/drawingml/2006/picture">
                <pic:pic>
                  <pic:nvPicPr>
                    <pic:cNvPr id="0" name="A 3152-2025 karta.png"/>
                    <pic:cNvPicPr/>
                  </pic:nvPicPr>
                  <pic:blipFill>
                    <a:blip r:embed="rId16"/>
                    <a:stretch>
                      <a:fillRect/>
                    </a:stretch>
                  </pic:blipFill>
                  <pic:spPr>
                    <a:xfrm>
                      <a:off x="0" y="0"/>
                      <a:ext cx="5486400" cy="550148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6563587, E 687367 i SWEREF 99 TM.</w:t>
      </w:r>
    </w:p>
    <w:p>
      <w:r>
        <w:t>I och inom 24 meter från avverkningsanmälan finns fynd av 27 naturvårdsarter, varav 13 är rödlistade, 9 är fridlysta, 16 är typiska (T) och 10 är signalarter (S): knärot (VU, T, §8), apelsinticka (NT), blå taggsvamp (NT, T), dropptaggsvamp (NT, T), grantaggsvamp (NT), kandelabersvamp (NT, T), koralltaggsvamp (NT, T), orange taggsvamp (NT, T), svartvit taggsvamp (NT), talltita (NT, §4), ullticka (NT, T), vedtrappmossa (NT, T), vågticka (NT), blomkålssvamp (S), blåmossa (S, T), grön sköldmossa (S, T, §8), grönpyrola (S, T), mindre märgborre (S, T), plattlummer (S, T, §9), rödgul trumpetsvamp (S), spindelblomster (S, T, §8), vedticka (S, T), västlig hakmossa (S), mattlummer (T, §9), vanlig padda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4662497"/>
            <wp:docPr id="2" name="Picture 2"/>
            <wp:cNvGraphicFramePr>
              <a:graphicFrameLocks noChangeAspect="1"/>
            </wp:cNvGraphicFramePr>
            <a:graphic>
              <a:graphicData uri="http://schemas.openxmlformats.org/drawingml/2006/picture">
                <pic:pic>
                  <pic:nvPicPr>
                    <pic:cNvPr id="0" name="A 3152-2025 karta knärot.png"/>
                    <pic:cNvPicPr/>
                  </pic:nvPicPr>
                  <pic:blipFill>
                    <a:blip r:embed="rId17"/>
                    <a:stretch>
                      <a:fillRect/>
                    </a:stretch>
                  </pic:blipFill>
                  <pic:spPr>
                    <a:xfrm>
                      <a:off x="0" y="0"/>
                      <a:ext cx="5486400" cy="46624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6563587, E 687367 i SWEREF 99 TM.</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blå taggsvamp (NT, T), dropptaggsvamp (NT, T), kandelabersvamp (NT, T), koralltaggsvamp (NT, T), orange taggsvamp (NT, T), ullticka (NT, T), vedtrappmossa (NT, T), blåmossa (S, T), grön sköldmossa (S, T, §8), grönpyrola (S, T), mindre märgborre (S, T), plattlummer (S, T, §9), spindelblomster (S, T, §8), vedticka (S, T)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