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64 naturvårdsarter, varav 26 är rödlistade, 23 är fridlysta, 35 är typiska (T) och 21 är signalarter (S): garnlav (VU, T), goliatmusseron (VU, T), gränsticka (VU, T), jättemusseron (VU), knärot (VU, T, §8), lakritsmusseron (VU, T), rotfingersvamp (VU), apelsinticka (NT), blå taggsvamp (NT, T), brunlångöra (NT, §4a), dropptaggsvamp (NT, T), fyrflikig jordstjärna (NT, T), gelatinfingersvamp (NT), lunglav (NT, T), motaggsvamp (NT, T), nordfladdermus (NT, §4a), orange taggsvamp (NT, T), skarp dropptaggsvamp (NT), svartvit taggsvamp (NT), tallkötticka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vedskivlav (NT, T), vedtrappmossa (NT, T), blåmossa (S, T), bronshjon (S, T), flagellkvastmossa (S, T), fällmossa (S, T), grovticka (S, T), grön sköldmossa (S, T, §8), grönpyrola (S, T), mindre märgborre (S, T), nästlav (S, T), plattlummer (S, T, §9), spindelblomster (S, T, §8), stubbspretmossa (S, T), trådticka (S, T), vedticka (S, T), krushättemossa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