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3151-2025 i Haninge kommun</w:t>
      </w:r>
    </w:p>
    <w:p>
      <w:r>
        <w:t>Detta klagomål behandlar höga naturvärden i avverkningsanmälan A 3151-2025 i Haninge kommun som inkom 2025-01-22 och omfattar 19,8 ha.</w:t>
      </w:r>
    </w:p>
    <w:p>
      <w:pPr>
        <w:pStyle w:val="Caption"/>
      </w:pPr>
      <w:r>
        <w:drawing>
          <wp:inline xmlns:a="http://schemas.openxmlformats.org/drawingml/2006/main" xmlns:pic="http://schemas.openxmlformats.org/drawingml/2006/picture">
            <wp:extent cx="5333464" cy="5724000"/>
            <wp:docPr id="1" name="Picture 1"/>
            <wp:cNvGraphicFramePr>
              <a:graphicFrameLocks noChangeAspect="1"/>
            </wp:cNvGraphicFramePr>
            <a:graphic>
              <a:graphicData uri="http://schemas.openxmlformats.org/drawingml/2006/picture">
                <pic:pic>
                  <pic:nvPicPr>
                    <pic:cNvPr id="0" name="A 3151-2025 karta.png"/>
                    <pic:cNvPicPr/>
                  </pic:nvPicPr>
                  <pic:blipFill>
                    <a:blip r:embed="rId16"/>
                    <a:stretch>
                      <a:fillRect/>
                    </a:stretch>
                  </pic:blipFill>
                  <pic:spPr>
                    <a:xfrm>
                      <a:off x="0" y="0"/>
                      <a:ext cx="5333464"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6563057, E 686775 i SWEREF 99 TM.</w:t>
      </w:r>
    </w:p>
    <w:p>
      <w:r>
        <w:t>I och inom 25 meter från avverkningsanmälan finns fynd av 60 naturvårdsarter, varav 25 är rödlistade, 22 är fridlysta, 34 är typiska (T) och 21 är signalarter (S): garnlav (VU, T), goliatmusseron (VU, T), gränsticka (VU, T), gul taggsvamp (VU, T), knärot (VU, T, §8), ringlav (VU), rotfingersvamp (VU), brunlångöra (NT, §4a), dropptaggsvamp (NT, T), fjällig taggsvamp s.str. (NT), fyrflikig jordstjärna (NT, T), mindre hackspett (NT, T, §4), motaggsvamp (NT, T), nordfladdermus (NT, §4a), reliktbock (NT, T), skarp dropptaggsvamp (NT), talltagel (NT, T), tallticka (NT, T), talltita (NT, §4), tjockfotad fingersvamp (NT), ullticka (NT, T), vedskivlav (NT, T), vedtrappmossa (NT, T), vintertagging (NT), vågticka (NT), björksplintborre (S), blomkålssvamp (S), blåmossa (S, T), brandticka (S), bronshjon (S, T), granbarkgnagare (S, T), grovticka (S, T), grön sköldmossa (S, T, §8), grönpyrola (S, T), jättesvampmal (S), korallrot (S, T, §8), mindre märgborre (S, T), nästlav (S, T), plattlummer (S, T, §9), spindelblomster (S, T, §8), stubbspretmossa (S, T), thomsons trägnagare (S), trådticka (S, T), vedticka (S, T), västlig hakmossa (S), vågbandad barkbock (S), hultbräken (T), mattlummer (T, §9), spillkråka (T, §4), tjäder (T, §4), tofsmes (T, §4), dvärgpipistrell (§4a), större brunfladdermus (§4a), vattenfladdermus (§4a), åkergroda (§4a), vanlig groda (§6), vanlig padda (§6), vanlig snok (§6),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Gul taggsvamp (VU) </w:t>
      </w:r>
      <w:r>
        <w:t xml:space="preserve">bildar mykorrhiza med gran i äldre barrskog med lång kontinuitet. Förekommer på kalkrik eller annan basiskt påverkad mark, ofta i källpåverkade miljöer. Den totala populationen i landet har minskat kraftigt och bedöms fortsätta minska till följd av avverkning av äldre barrskog med lång trädkontinuitet. Minskningstakten överstiger gränsvärdet för sårbar (VU). Arten tål inte en slutavverkning utan kräver ett kontinuerligt äldre trädskikt med gran. Slutavverkning, kraftig gallring och skogsmarksgödsling måste helt undvikas och lokalerna bör skyddas formellt. Gul taggsvamp är typisk art för </w:t>
      </w:r>
      <w:r>
        <w:rPr>
          <w:i/>
        </w:rPr>
        <w:t>9050 Näringsrik granskog</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28 fyndplatser för knärot registrerade på Artportalen. Figur 2 visar gränserna för buffertzoner på 50 m, som behöver lämnas kring fyndplatserna för att knärotslokalerna inte ska försvinna vid en avverkning. Av det avverkningsanmälda området överlappar 3.61 ha med buffertzonerna och får av detta skäl inte avverkas.</w:t>
      </w:r>
    </w:p>
    <w:p>
      <w:pPr>
        <w:pStyle w:val="Caption"/>
      </w:pPr>
      <w:r>
        <w:drawing>
          <wp:inline xmlns:a="http://schemas.openxmlformats.org/drawingml/2006/main" xmlns:pic="http://schemas.openxmlformats.org/drawingml/2006/picture">
            <wp:extent cx="5486400" cy="4521095"/>
            <wp:docPr id="2" name="Picture 2"/>
            <wp:cNvGraphicFramePr>
              <a:graphicFrameLocks noChangeAspect="1"/>
            </wp:cNvGraphicFramePr>
            <a:graphic>
              <a:graphicData uri="http://schemas.openxmlformats.org/drawingml/2006/picture">
                <pic:pic>
                  <pic:nvPicPr>
                    <pic:cNvPr id="0" name="A 3151-2025 karta knärot.png"/>
                    <pic:cNvPicPr/>
                  </pic:nvPicPr>
                  <pic:blipFill>
                    <a:blip r:embed="rId17"/>
                    <a:stretch>
                      <a:fillRect/>
                    </a:stretch>
                  </pic:blipFill>
                  <pic:spPr>
                    <a:xfrm>
                      <a:off x="0" y="0"/>
                      <a:ext cx="5486400" cy="452109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6563057, E 686775 i SWEREF 99 TM.</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 xml:space="preserve">Rotfingersvamp (VU) </w:t>
      </w:r>
      <w:r>
        <w:t>bildar mykorrhiza med tall, i tallskog på sandiga marker särskilt på åssluttningar. Huvudsakligen förekommer den i norra Sverige, i äldre icke kalavverkad kontinuitetsskog. Rotfingersvamp är placerad högst upp i Skogsstyrelsens värdepyramid för bedömning av skog med höga naturvärden och globalt rödlistad som nära hotad (NT) vilket innebär att Sverige har ett internationellt ansvar för arten. Områden med arten bör skyddas och undantas från rationellt skogsbruk och slutavverkning, kraftig gallring och skogsgödsling måste helt undvikas (IUCN, 2025; SLU Artdatabanken, 2024; Nitare &amp; Skogsstyrelsen, 2019).</w:t>
      </w:r>
    </w:p>
    <w:p>
      <w:r>
        <w:rPr>
          <w:b/>
        </w:rPr>
        <w:t>Brunlångöra (NT, §4a)</w:t>
      </w:r>
      <w:r>
        <w:t xml:space="preserve"> omfattas av bilaga 4 EU:s art- och habitatdirektiv vilket innebär att arten och dess livsmiljöer är strikt skyddade. Brunlångöra förekommer framförallt inne i relativt tät skog men födosöker också i trädgårdar, parker och hagar. Den har minskat med 17,5 (5–30) % under de senaste 21 åren och minskningstakten för den svenska populationen bedöms vara nära gränsvärdet för Sårbar (VU). (A2bc). Brunlångöra är typisk art för </w:t>
      </w:r>
      <w:r>
        <w:rPr>
          <w:i/>
        </w:rPr>
        <w:t>8310 Grottor</w:t>
      </w:r>
      <w:r>
        <w:t xml:space="preserve"> och </w:t>
      </w:r>
      <w:r>
        <w:rPr>
          <w:i/>
        </w:rPr>
        <w:t>8330</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Tjockfotad fingersvamp (NT) </w:t>
      </w:r>
      <w:r>
        <w:t>bildar mykorrhiza med gran, eventuellt även med tall, i örtrika kalkbarrskogar, samt med bok och ek i ädellövskog på kalkrik mark. Den totala populationen i landet bedöms ha minskat under de senaste 50 åren och förväntas fortsätta minska, främst på grund av slutavverkning av äldre barrskog. Minskningstakten för den svenska populationen bedöms vara nära gränsvärdet för sårbar (VU). Slutavverkning, gödsling eller exploatering måste undvikas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 xml:space="preserve">Hultbräken </w:t>
      </w:r>
      <w:r>
        <w:t xml:space="preserve">är typisk art för </w:t>
      </w:r>
      <w:r>
        <w:rPr>
          <w:i/>
        </w:rPr>
        <w:t xml:space="preserve">9050 Näringsrik granskog </w:t>
      </w:r>
      <w:r>
        <w:t>(SLU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60 naturvårdsarter varav 25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Brunlångöra – ekologi samt krav på livsmiljön</w:t>
      </w:r>
    </w:p>
    <w:p>
      <w:r>
        <w:t>Brunlångöra (NT, §4a) omfattas av bilaga 4 EU:s art- och habitatdirektiv vilket innebär ett strikt skydd för arten och dess livsmiljöer. Den har minskat med 17,5 (5–30) % under de senaste 21 åren och minskningstakten för den svenska populationen bedöms vara nära gränsvärdet för Sårbar (VU). (A2bc) (SLU Artdatabanken, 2024).</w:t>
      </w:r>
    </w:p>
    <w:p>
      <w:r>
        <w:t>Brunlångöra förekommer framförallt inne i relativt tät skog men födosöker också runt hus, i parker, trädgårdar och hagar. Arten har ett mycket karakteristiskt jaktbeteende då den flyger tätt intill vegetationen så som träd och buskar eller lågt över marken där den plockar insekter och spindlar direkt från blad, grenar och grässtrån. Arten kan till och med ryttla, stå stilla i luften med fladdrande vingar. Kolonierna finns ofta i stora byggnader som kyrkor, lador och magasin. Arten påverkas negativt av belysning, och en kraftig minskning har observerats på ett antal koloniplatser i södra Sverige (SLU Artdatabanken, 2024).</w:t>
      </w:r>
    </w:p>
    <w:p>
      <w:r>
        <w:t xml:space="preserve">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Brunlångöra är typisk art för </w:t>
      </w:r>
      <w:r>
        <w:rPr>
          <w:i/>
        </w:rPr>
        <w:t>8310 Grottor</w:t>
      </w:r>
      <w:r>
        <w:t xml:space="preserve"> och </w:t>
      </w:r>
      <w:r>
        <w:rPr>
          <w:i/>
        </w:rPr>
        <w:t>8330 Havsgrottor</w:t>
      </w:r>
      <w:r>
        <w:t xml:space="preserve"> (SLU Artdatabanken, 2024).</w:t>
      </w:r>
    </w:p>
    <w:p>
      <w:pPr>
        <w:pStyle w:val="Heading2"/>
      </w:pPr>
      <w:r>
        <w:t>Referenser – brunlångöra</w:t>
      </w:r>
    </w:p>
    <w:p>
      <w:r>
        <w:t>SLU Artdatabanken, 2024.</w:t>
      </w:r>
      <w:r>
        <w:rPr>
          <w:i/>
        </w:rPr>
        <w:t xml:space="preserve"> Artfakta: brunlångöra (Plecotus auritus). </w:t>
      </w:r>
      <w:r>
        <w:t>https://artfakta.se/taxa/206002</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